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distribute"/>
        <w:rPr>
          <w:rFonts w:eastAsia="华文新魏"/>
          <w:b/>
          <w:kern w:val="0"/>
          <w:sz w:val="44"/>
          <w:szCs w:val="44"/>
        </w:rPr>
      </w:pPr>
      <w:r>
        <w:rPr>
          <w:rFonts w:hint="eastAsia" w:eastAsia="华文新魏"/>
          <w:b/>
          <w:color w:val="FF0000"/>
          <w:w w:val="66"/>
          <w:kern w:val="0"/>
          <w:sz w:val="150"/>
          <w:szCs w:val="150"/>
        </w:rPr>
        <w:t>商务信息与调研</w:t>
      </w:r>
    </w:p>
    <w:p>
      <w:pPr>
        <w:spacing w:line="290" w:lineRule="exact"/>
        <w:jc w:val="center"/>
        <w:rPr>
          <w:rFonts w:eastAsia="方正小标宋简体"/>
          <w:sz w:val="44"/>
          <w:szCs w:val="44"/>
          <w:shd w:val="clear" w:color="auto" w:fill="FFFFFF"/>
        </w:rPr>
      </w:pPr>
    </w:p>
    <w:p>
      <w:pPr>
        <w:spacing w:line="580" w:lineRule="exact"/>
        <w:jc w:val="center"/>
        <w:rPr>
          <w:b/>
          <w:spacing w:val="100"/>
          <w:sz w:val="32"/>
          <w:szCs w:val="32"/>
        </w:rPr>
      </w:pPr>
      <w:r>
        <w:rPr>
          <w:rFonts w:hint="eastAsia"/>
          <w:b/>
          <w:spacing w:val="100"/>
          <w:sz w:val="32"/>
          <w:szCs w:val="32"/>
        </w:rPr>
        <w:t>第7</w:t>
      </w:r>
      <w:r>
        <w:rPr>
          <w:rFonts w:hint="eastAsia"/>
          <w:b/>
          <w:spacing w:val="100"/>
          <w:sz w:val="32"/>
          <w:szCs w:val="32"/>
          <w:lang w:val="en-US" w:eastAsia="zh-CN"/>
        </w:rPr>
        <w:t>2</w:t>
      </w:r>
      <w:r>
        <w:rPr>
          <w:rFonts w:hint="eastAsia"/>
          <w:b/>
          <w:spacing w:val="100"/>
          <w:sz w:val="32"/>
          <w:szCs w:val="32"/>
        </w:rPr>
        <w:t>期</w:t>
      </w:r>
    </w:p>
    <w:p>
      <w:pPr>
        <w:spacing w:line="580" w:lineRule="exact"/>
        <w:jc w:val="center"/>
        <w:rPr>
          <w:b/>
          <w:spacing w:val="40"/>
          <w:sz w:val="32"/>
          <w:szCs w:val="32"/>
        </w:rPr>
      </w:pPr>
      <w:r>
        <w:rPr>
          <w:rFonts w:hint="eastAsia"/>
          <w:b/>
          <w:spacing w:val="40"/>
          <w:sz w:val="32"/>
          <w:szCs w:val="32"/>
        </w:rPr>
        <w:t>（总第64</w:t>
      </w:r>
      <w:r>
        <w:rPr>
          <w:rFonts w:hint="eastAsia"/>
          <w:b/>
          <w:spacing w:val="40"/>
          <w:sz w:val="32"/>
          <w:szCs w:val="32"/>
          <w:lang w:val="en-US" w:eastAsia="zh-CN"/>
        </w:rPr>
        <w:t>5</w:t>
      </w:r>
      <w:r>
        <w:rPr>
          <w:rFonts w:hint="eastAsia"/>
          <w:b/>
          <w:spacing w:val="40"/>
          <w:sz w:val="32"/>
          <w:szCs w:val="32"/>
        </w:rPr>
        <w:t>期）</w:t>
      </w:r>
    </w:p>
    <w:p>
      <w:pPr>
        <w:spacing w:line="290" w:lineRule="exact"/>
        <w:jc w:val="center"/>
        <w:rPr>
          <w:b/>
          <w:spacing w:val="40"/>
          <w:sz w:val="32"/>
          <w:szCs w:val="32"/>
        </w:rPr>
      </w:pPr>
    </w:p>
    <w:p>
      <w:pPr>
        <w:spacing w:line="580" w:lineRule="exact"/>
        <w:ind w:left="720" w:hanging="720" w:hangingChars="224"/>
        <w:jc w:val="center"/>
        <w:rPr>
          <w:b/>
          <w:sz w:val="32"/>
          <w:szCs w:val="32"/>
        </w:rPr>
      </w:pPr>
      <w:r>
        <w:rPr>
          <w:rFonts w:hint="eastAsia"/>
          <w:b/>
          <w:sz w:val="32"/>
          <w:szCs w:val="32"/>
        </w:rPr>
        <w:t>苏州市商务局                      2020年8月</w:t>
      </w:r>
      <w:r>
        <w:rPr>
          <w:rFonts w:hint="eastAsia"/>
          <w:b/>
          <w:sz w:val="32"/>
          <w:szCs w:val="32"/>
          <w:lang w:val="en-US" w:eastAsia="zh-CN"/>
        </w:rPr>
        <w:t>4</w:t>
      </w:r>
      <w:r>
        <w:rPr>
          <w:rFonts w:hint="eastAsia"/>
          <w:b/>
          <w:sz w:val="32"/>
          <w:szCs w:val="32"/>
        </w:rPr>
        <w:t>日</w:t>
      </w:r>
      <w:bookmarkStart w:id="0" w:name="OLE_LINK1"/>
      <w:bookmarkEnd w:id="0"/>
    </w:p>
    <w:p>
      <w:pPr>
        <w:spacing w:line="560" w:lineRule="exact"/>
        <w:jc w:val="center"/>
        <w:rPr>
          <w:rFonts w:ascii="仿宋" w:hAnsi="仿宋" w:eastAsia="仿宋"/>
          <w:sz w:val="32"/>
          <w:szCs w:val="32"/>
        </w:rPr>
      </w:pPr>
      <w:r>
        <w:rPr>
          <w:rFonts w:eastAsia="方正小标宋简体"/>
          <w:sz w:val="10"/>
          <w:szCs w:val="10"/>
          <w:shd w:val="clear" w:color="auto" w:fill="FFFFFF"/>
        </w:rPr>
        <w:pict>
          <v:line id="Line 2" o:spid="_x0000_s1026" o:spt="20" style="position:absolute;left:0pt;margin-left:-33.25pt;margin-top:13.15pt;height:0pt;width:510.25pt;z-index:-251658240;mso-width-relative:page;mso-height-relative:page;" stroked="t" coordsize="21600,21600">
            <v:path arrowok="t"/>
            <v:fill focussize="0,0"/>
            <v:stroke weight="2pt" color="#FF0000"/>
            <v:imagedata o:title=""/>
            <o:lock v:ext="edit"/>
          </v:line>
        </w:pict>
      </w:r>
    </w:p>
    <w:p>
      <w:pPr>
        <w:spacing w:line="620" w:lineRule="exact"/>
        <w:jc w:val="center"/>
        <w:rPr>
          <w:rFonts w:hint="eastAsia" w:ascii="华文中宋" w:hAnsi="华文中宋" w:eastAsia="华文中宋"/>
          <w:sz w:val="36"/>
          <w:szCs w:val="36"/>
          <w:lang w:eastAsia="zh-CN"/>
        </w:rPr>
      </w:pPr>
      <w:r>
        <w:rPr>
          <w:rFonts w:hint="eastAsia" w:ascii="华文中宋" w:hAnsi="华文中宋" w:eastAsia="华文中宋"/>
          <w:sz w:val="36"/>
          <w:szCs w:val="36"/>
          <w:lang w:eastAsia="zh-CN"/>
        </w:rPr>
        <w:t>今年以来</w:t>
      </w:r>
      <w:r>
        <w:rPr>
          <w:rFonts w:hint="eastAsia" w:ascii="华文中宋" w:hAnsi="华文中宋" w:eastAsia="华文中宋"/>
          <w:sz w:val="36"/>
          <w:szCs w:val="36"/>
        </w:rPr>
        <w:t>苏州跨境电商综试区</w:t>
      </w:r>
      <w:r>
        <w:rPr>
          <w:rFonts w:hint="eastAsia" w:ascii="华文中宋" w:hAnsi="华文中宋" w:eastAsia="华文中宋"/>
          <w:sz w:val="36"/>
          <w:szCs w:val="36"/>
          <w:lang w:eastAsia="zh-CN"/>
        </w:rPr>
        <w:t>建设工作情况简析</w:t>
      </w:r>
    </w:p>
    <w:p>
      <w:pPr>
        <w:rPr>
          <w:rFonts w:hint="eastAsia" w:ascii="仿宋_GB2312" w:eastAsia="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Times New Roman" w:hAnsi="Times New Roman" w:eastAsia="仿宋_GB2312"/>
          <w:color w:val="000000"/>
          <w:kern w:val="0"/>
          <w:sz w:val="32"/>
          <w:szCs w:val="32"/>
        </w:rPr>
        <w:t>今年以来，我们深入贯彻落实苏州开放再出发大会会议精神，按照</w:t>
      </w:r>
      <w:r>
        <w:rPr>
          <w:rFonts w:hint="eastAsia" w:eastAsia="仿宋_GB2312"/>
          <w:color w:val="000000"/>
          <w:kern w:val="0"/>
          <w:sz w:val="32"/>
          <w:szCs w:val="32"/>
          <w:lang w:eastAsia="zh-CN"/>
        </w:rPr>
        <w:t>省委常委、市委</w:t>
      </w:r>
      <w:r>
        <w:rPr>
          <w:rFonts w:hint="eastAsia" w:ascii="Times New Roman" w:hAnsi="Times New Roman" w:eastAsia="仿宋_GB2312"/>
          <w:color w:val="000000"/>
          <w:kern w:val="0"/>
          <w:sz w:val="32"/>
          <w:szCs w:val="32"/>
        </w:rPr>
        <w:t>蓝书记系列指示批示</w:t>
      </w:r>
      <w:r>
        <w:rPr>
          <w:rFonts w:hint="eastAsia" w:eastAsia="仿宋_GB2312"/>
          <w:color w:val="000000"/>
          <w:kern w:val="0"/>
          <w:sz w:val="32"/>
          <w:szCs w:val="32"/>
          <w:lang w:eastAsia="zh-CN"/>
        </w:rPr>
        <w:t>精神</w:t>
      </w:r>
      <w:r>
        <w:rPr>
          <w:rFonts w:hint="eastAsia" w:ascii="Times New Roman" w:hAnsi="Times New Roman" w:eastAsia="仿宋_GB2312"/>
          <w:color w:val="000000"/>
          <w:kern w:val="0"/>
          <w:sz w:val="32"/>
          <w:szCs w:val="32"/>
        </w:rPr>
        <w:t>，统筹做好疫情防控和跨境商务发展各项工作，实现跨境电商出口业务的全面、迅猛增长和进口业务的稳量提质。</w:t>
      </w:r>
      <w:r>
        <w:rPr>
          <w:rFonts w:hint="eastAsia" w:ascii="仿宋_GB2312" w:hAnsi="仿宋_GB2312" w:eastAsia="仿宋_GB2312" w:cs="仿宋_GB2312"/>
          <w:kern w:val="0"/>
          <w:sz w:val="32"/>
          <w:szCs w:val="32"/>
          <w:lang w:bidi="ar"/>
        </w:rPr>
        <w:t>1-6月跨境电商B2B出口实现42.6亿元，同比增长18.3%；9610模式B2C出口业务实现3567万元，同比增长751%；</w:t>
      </w:r>
      <w:r>
        <w:rPr>
          <w:rFonts w:hint="eastAsia" w:ascii="仿宋_GB2312" w:hAnsi="仿宋_GB2312" w:eastAsia="仿宋_GB2312" w:cs="仿宋_GB2312"/>
          <w:sz w:val="32"/>
          <w:szCs w:val="32"/>
        </w:rPr>
        <w:t>1210模式B2B2C进口监管数据实现</w:t>
      </w:r>
      <w:r>
        <w:rPr>
          <w:rFonts w:hint="eastAsia" w:ascii="仿宋_GB2312" w:hAnsi="仿宋_GB2312" w:eastAsia="仿宋_GB2312" w:cs="仿宋_GB2312"/>
          <w:kern w:val="0"/>
          <w:sz w:val="32"/>
          <w:szCs w:val="32"/>
          <w:lang w:bidi="ar"/>
        </w:rPr>
        <w:t>8276万元；海外仓出口数据实现零的突破，其中</w:t>
      </w:r>
      <w:r>
        <w:rPr>
          <w:rFonts w:hint="eastAsia" w:ascii="仿宋_GB2312" w:hAnsi="仿宋_GB2312" w:eastAsia="仿宋_GB2312" w:cs="仿宋_GB2312"/>
          <w:sz w:val="32"/>
          <w:szCs w:val="32"/>
        </w:rPr>
        <w:t>报关数据5800万元，订单数据2.2亿元；B2C</w:t>
      </w:r>
      <w:r>
        <w:rPr>
          <w:rFonts w:hint="eastAsia" w:ascii="仿宋_GB2312" w:hAnsi="仿宋_GB2312" w:eastAsia="仿宋_GB2312" w:cs="仿宋_GB2312"/>
          <w:sz w:val="32"/>
          <w:szCs w:val="32"/>
          <w:lang w:eastAsia="zh-CN"/>
        </w:rPr>
        <w:t>邮包</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lang w:val="en-US" w:eastAsia="zh-CN"/>
        </w:rPr>
        <w:t>6.5亿元</w:t>
      </w:r>
      <w:bookmarkStart w:id="1" w:name="_GoBack"/>
      <w:bookmarkEnd w:id="1"/>
      <w:r>
        <w:rPr>
          <w:rFonts w:hint="eastAsia" w:ascii="仿宋_GB2312" w:hAnsi="仿宋_GB2312" w:eastAsia="仿宋_GB2312" w:cs="仿宋_GB2312"/>
          <w:sz w:val="32"/>
          <w:szCs w:val="32"/>
        </w:rPr>
        <w:t>左右。</w:t>
      </w:r>
    </w:p>
    <w:p>
      <w:pPr>
        <w:pStyle w:val="2"/>
        <w:ind w:firstLine="640"/>
        <w:rPr>
          <w:rFonts w:ascii="仿宋_GB2312" w:hAnsi="仿宋_GB2312" w:eastAsia="仿宋_GB2312" w:cs="仿宋_GB2312"/>
          <w:kern w:val="0"/>
          <w:szCs w:val="32"/>
          <w:lang w:bidi="ar"/>
        </w:rPr>
      </w:pPr>
      <w:r>
        <w:rPr>
          <w:rFonts w:hint="eastAsia" w:ascii="楷体" w:hAnsi="楷体" w:eastAsia="楷体" w:cs="楷体"/>
          <w:szCs w:val="32"/>
        </w:rPr>
        <w:t>1、调整跨境电商工作重点。</w:t>
      </w:r>
      <w:r>
        <w:rPr>
          <w:rFonts w:hint="eastAsia" w:ascii="仿宋_GB2312" w:hAnsi="仿宋_GB2312" w:eastAsia="仿宋_GB2312" w:cs="仿宋_GB2312"/>
          <w:kern w:val="0"/>
          <w:szCs w:val="32"/>
          <w:lang w:bidi="ar"/>
        </w:rPr>
        <w:t>综试区设立之初，我市以跨境电商B2B出口为主攻方向，为该业务的持续稳定发展创造了优秀的环境。根据形势的发展，基于B2C出口具有全新的客户、全新的营销渠道、全新的支付方式、全新的生产出货方式等特点，我们在稳定B2B出口的同时，加大力度推动B2C出口业务。同时，由于B2C进口对地方的税收和经济贡献很小，并且网购保税进口企业对地方补贴要求太高，我们将B2C发展重点转向出口为主，并且体现在政策上。在年初制定的《关于开放再出发的若干政策意见》中，对苏州跨境电商企业在国内外大型平台上开店给予最高一家20万元的奖励。</w:t>
      </w:r>
    </w:p>
    <w:p>
      <w:pPr>
        <w:spacing w:line="360" w:lineRule="auto"/>
        <w:ind w:firstLine="640" w:firstLineChars="200"/>
        <w:rPr>
          <w:rFonts w:hint="eastAsia" w:ascii="仿宋_GB2312" w:hAnsi="仿宋_GB2312" w:eastAsia="仿宋_GB2312" w:cs="仿宋_GB2312"/>
          <w:kern w:val="0"/>
          <w:sz w:val="32"/>
          <w:szCs w:val="32"/>
          <w:lang w:bidi="ar"/>
        </w:rPr>
      </w:pPr>
      <w:r>
        <w:rPr>
          <w:rFonts w:hint="eastAsia" w:ascii="楷体" w:hAnsi="楷体" w:eastAsia="楷体" w:cs="楷体"/>
          <w:sz w:val="32"/>
          <w:szCs w:val="32"/>
        </w:rPr>
        <w:t>2、指导线上平台优化服务。</w:t>
      </w:r>
      <w:r>
        <w:rPr>
          <w:rFonts w:hint="eastAsia" w:ascii="仿宋_GB2312" w:hAnsi="仿宋_GB2312" w:eastAsia="仿宋_GB2312" w:cs="仿宋_GB2312"/>
          <w:kern w:val="0"/>
          <w:sz w:val="32"/>
          <w:szCs w:val="32"/>
          <w:lang w:bidi="ar"/>
        </w:rPr>
        <w:t>在确保日常运维和安全保障的基础上，指导平台做好综试区网站专业多语言版本改版，建设运维数字贸易公共服务平台，优化统计检测服务，打造大数据服务平台。协调做好跨境B2B直接出口(9710)和出口海外仓(9810)业务试点的模块改造升级，配合做好线上平台推介和相关政策业务宣讲。</w:t>
      </w:r>
    </w:p>
    <w:p>
      <w:pPr>
        <w:ind w:firstLine="640" w:firstLineChars="200"/>
        <w:rPr>
          <w:rFonts w:hint="eastAsia" w:ascii="仿宋_GB2312" w:hAnsi="仿宋_GB2312" w:eastAsia="仿宋_GB2312" w:cs="仿宋_GB2312"/>
          <w:kern w:val="0"/>
          <w:sz w:val="32"/>
          <w:szCs w:val="32"/>
          <w:lang w:bidi="ar"/>
        </w:rPr>
      </w:pPr>
      <w:r>
        <w:rPr>
          <w:rFonts w:hint="eastAsia" w:ascii="楷体" w:hAnsi="楷体" w:eastAsia="楷体" w:cs="楷体"/>
          <w:sz w:val="32"/>
          <w:szCs w:val="32"/>
        </w:rPr>
        <w:t>3、打造数字贸易公共服务平台。</w:t>
      </w:r>
      <w:r>
        <w:rPr>
          <w:rFonts w:hint="eastAsia" w:ascii="仿宋_GB2312" w:hAnsi="仿宋_GB2312" w:eastAsia="仿宋_GB2312" w:cs="仿宋_GB2312"/>
          <w:kern w:val="0"/>
          <w:sz w:val="32"/>
          <w:szCs w:val="32"/>
          <w:lang w:bidi="ar"/>
        </w:rPr>
        <w:t>在现有线上综合服务平台的基础上，集成米奥兰特数字和焦点科技数字外贸平台、沃金苏州市跨境B2C企业线上服务平台，全新打造“苏州数字贸易公共服务平台”，有效帮助企业创新参展办展、扩大线上接单。目前700余家企业注册为数字外贸会员企业，各企业累计上传商品800多个，累计查看贸易信息总数近1.6万次。</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4、推进跨境电商与产业集群融合发展。</w:t>
      </w:r>
      <w:r>
        <w:rPr>
          <w:rFonts w:hint="eastAsia" w:ascii="仿宋_GB2312" w:hAnsi="仿宋_GB2312" w:eastAsia="仿宋_GB2312" w:cs="仿宋_GB2312"/>
          <w:kern w:val="0"/>
          <w:sz w:val="32"/>
          <w:szCs w:val="32"/>
          <w:lang w:bidi="ar"/>
        </w:rPr>
        <w:t>联合阿里巴巴、京东等领军电商平台推出系列活动助力苏州企业开拓海外市场。推动专业市场对接跨境电商平台，敦煌网针对虎丘婚纱城等专业市场提供了免店铺注册费、佣金返点等。常熟服装城和速卖通合作落地，成立了江苏首个速卖通服务中心。</w:t>
      </w:r>
      <w:r>
        <w:rPr>
          <w:rFonts w:hint="eastAsia" w:ascii="仿宋_GB2312" w:hAnsi="仿宋_GB2312" w:eastAsia="仿宋_GB2312" w:cs="仿宋_GB2312"/>
          <w:sz w:val="32"/>
          <w:szCs w:val="32"/>
        </w:rPr>
        <w:t>天猫海外在近日的“2020丝绸苏州”展会上正式启动苏州丝绸企业“丝路出海”计划，加快把苏州打造成为产业带数字出海联盟的标杆城市。</w:t>
      </w:r>
    </w:p>
    <w:p>
      <w:pPr>
        <w:spacing w:line="360" w:lineRule="auto"/>
        <w:ind w:firstLine="640" w:firstLineChars="200"/>
        <w:rPr>
          <w:rFonts w:hint="eastAsia" w:ascii="仿宋_GB2312" w:hAnsi="仿宋_GB2312" w:eastAsia="仿宋_GB2312" w:cs="仿宋_GB2312"/>
          <w:kern w:val="0"/>
          <w:sz w:val="32"/>
          <w:szCs w:val="32"/>
          <w:lang w:bidi="ar"/>
        </w:rPr>
      </w:pPr>
      <w:r>
        <w:rPr>
          <w:rFonts w:hint="eastAsia" w:ascii="楷体" w:hAnsi="楷体" w:eastAsia="楷体" w:cs="楷体"/>
          <w:sz w:val="32"/>
          <w:szCs w:val="32"/>
        </w:rPr>
        <w:t>5、推动线下园区差异化发展。</w:t>
      </w:r>
      <w:r>
        <w:rPr>
          <w:rFonts w:hint="eastAsia" w:ascii="仿宋_GB2312" w:hAnsi="仿宋_GB2312" w:eastAsia="仿宋_GB2312" w:cs="仿宋_GB2312"/>
          <w:sz w:val="32"/>
          <w:szCs w:val="32"/>
        </w:rPr>
        <w:t>早在2016年5月综试区即确立首批线下十个重点园区，并在市级层面建立挂钩联系制度。按照“一区多园”的布局方式，依托综合保税区、电子商务产业园、综合物流园等，各地实现差异化、特色化发展。今年以来，各线下园区继续推动跨境电商健康稳定发展。</w:t>
      </w:r>
      <w:r>
        <w:rPr>
          <w:rFonts w:hint="eastAsia" w:ascii="楷体" w:hAnsi="楷体" w:eastAsia="楷体" w:cs="楷体"/>
          <w:sz w:val="32"/>
          <w:szCs w:val="32"/>
        </w:rPr>
        <w:t>一是加大主体引进。</w:t>
      </w:r>
      <w:r>
        <w:rPr>
          <w:rFonts w:hint="eastAsia" w:ascii="仿宋_GB2312" w:hAnsi="仿宋_GB2312" w:eastAsia="仿宋_GB2312" w:cs="仿宋_GB2312"/>
          <w:kern w:val="0"/>
          <w:sz w:val="32"/>
          <w:szCs w:val="32"/>
          <w:lang w:bidi="ar"/>
        </w:rPr>
        <w:t>高新综合保税区成功引进赛鼎供应链，积极接洽赛鼎网络、赛维供应链、普源、马修及创摄等多家优质意向客户；昆山花桥跨境贸易小镇2020年上半年落户了韩国最大网红经纪公司Kcent网红经济项目；</w:t>
      </w:r>
      <w:r>
        <w:rPr>
          <w:rFonts w:hint="eastAsia" w:ascii="楷体" w:hAnsi="楷体" w:eastAsia="楷体" w:cs="楷体"/>
          <w:sz w:val="32"/>
          <w:szCs w:val="32"/>
        </w:rPr>
        <w:t>二是推动业务快速增长。</w:t>
      </w:r>
      <w:r>
        <w:rPr>
          <w:rFonts w:hint="eastAsia" w:ascii="仿宋_GB2312" w:hAnsi="仿宋_GB2312" w:eastAsia="仿宋_GB2312" w:cs="仿宋_GB2312"/>
          <w:kern w:val="0"/>
          <w:sz w:val="32"/>
          <w:szCs w:val="32"/>
          <w:lang w:bidi="ar"/>
        </w:rPr>
        <w:t>高新区、常熟、吴中区重点发展9610模式B2C出口,其中高新区综保区上半年完成跨境电商“一般出口”业务120.47万票，总重105.45吨，总货值298.01万美元，规模位居全市第一。张家港、吴江等重点发展B2B出口，</w:t>
      </w:r>
      <w:r>
        <w:rPr>
          <w:rFonts w:hint="eastAsia" w:ascii="仿宋_GB2312" w:hAnsi="仿宋_GB2312" w:eastAsia="仿宋_GB2312" w:cs="仿宋_GB2312"/>
          <w:sz w:val="32"/>
          <w:szCs w:val="32"/>
        </w:rPr>
        <w:t>上半年跨境电商B2B出口额分别是19亿元、16亿元；</w:t>
      </w:r>
      <w:r>
        <w:rPr>
          <w:rFonts w:hint="eastAsia" w:ascii="楷体" w:hAnsi="楷体" w:eastAsia="楷体" w:cs="楷体"/>
          <w:sz w:val="32"/>
          <w:szCs w:val="32"/>
        </w:rPr>
        <w:t>三是营造良好发展环境。</w:t>
      </w:r>
      <w:r>
        <w:rPr>
          <w:rFonts w:hint="eastAsia" w:ascii="仿宋_GB2312" w:hAnsi="仿宋_GB2312" w:eastAsia="仿宋_GB2312" w:cs="仿宋_GB2312"/>
          <w:kern w:val="0"/>
          <w:sz w:val="32"/>
          <w:szCs w:val="32"/>
          <w:lang w:bidi="ar"/>
        </w:rPr>
        <w:t>各线下园区积极组织各类跨境电商会议及活动，不少园区还</w:t>
      </w:r>
      <w:r>
        <w:rPr>
          <w:rFonts w:hint="eastAsia" w:ascii="仿宋_GB2312" w:hAnsi="仿宋_GB2312" w:eastAsia="仿宋_GB2312" w:cs="仿宋_GB2312"/>
          <w:sz w:val="32"/>
          <w:szCs w:val="32"/>
        </w:rPr>
        <w:t>配备沙龙会议中心、培训交流中心、众创空间、休闲洽谈区域等，今年疫情期间纷纷减免跨境电商企业房租；</w:t>
      </w:r>
      <w:r>
        <w:rPr>
          <w:rFonts w:hint="eastAsia" w:ascii="仿宋_GB2312" w:hAnsi="仿宋_GB2312" w:eastAsia="仿宋_GB2312" w:cs="仿宋_GB2312"/>
          <w:kern w:val="0"/>
          <w:sz w:val="32"/>
          <w:szCs w:val="32"/>
          <w:lang w:bidi="ar"/>
        </w:rPr>
        <w:t>姑苏区、</w:t>
      </w:r>
      <w:r>
        <w:rPr>
          <w:rFonts w:hint="eastAsia" w:ascii="仿宋_GB2312" w:hAnsi="仿宋_GB2312" w:eastAsia="仿宋_GB2312" w:cs="仿宋_GB2312"/>
          <w:sz w:val="32"/>
          <w:szCs w:val="32"/>
        </w:rPr>
        <w:t>吴中区打造</w:t>
      </w:r>
      <w:r>
        <w:rPr>
          <w:rFonts w:hint="eastAsia" w:ascii="仿宋_GB2312" w:hAnsi="仿宋_GB2312" w:eastAsia="仿宋_GB2312" w:cs="仿宋_GB2312"/>
          <w:kern w:val="0"/>
          <w:sz w:val="32"/>
          <w:szCs w:val="32"/>
          <w:lang w:bidi="ar"/>
        </w:rPr>
        <w:t>地方平台“境贸通”、“姑苏跨境通”，为跨境电商企业提供跨境电商政策辅导与申报、线下专业化培训等。</w:t>
      </w:r>
    </w:p>
    <w:p>
      <w:pPr>
        <w:ind w:firstLine="640" w:firstLineChars="200"/>
        <w:rPr>
          <w:rFonts w:hint="eastAsia"/>
        </w:rPr>
      </w:pPr>
      <w:r>
        <w:rPr>
          <w:rFonts w:hint="eastAsia" w:ascii="楷体" w:hAnsi="楷体" w:eastAsia="楷体" w:cs="楷体"/>
          <w:sz w:val="32"/>
          <w:szCs w:val="32"/>
        </w:rPr>
        <w:t>6、全力巩固跨境电商B2B出口。</w:t>
      </w:r>
      <w:r>
        <w:rPr>
          <w:rFonts w:hint="eastAsia" w:ascii="仿宋_GB2312" w:hAnsi="仿宋_GB2312" w:eastAsia="仿宋_GB2312" w:cs="仿宋_GB2312"/>
          <w:sz w:val="32"/>
          <w:szCs w:val="32"/>
        </w:rPr>
        <w:t>加强与科沃斯等本地品牌企业、宜布网等重点电商平台的业务对接，畅通与一达通等外综服平台的协作机制，支持梦工厂等企业打造苏州本土的B2B交易平台，带动更多企业从生产、销售端发力，全力稳住跨境电商B2B出口。</w:t>
      </w:r>
      <w:r>
        <w:rPr>
          <w:rFonts w:hint="eastAsia" w:ascii="仿宋_GB2312" w:hAnsi="仿宋_GB2312" w:eastAsia="仿宋_GB2312" w:cs="仿宋_GB2312"/>
          <w:color w:val="1C1C1C"/>
          <w:sz w:val="32"/>
          <w:szCs w:val="32"/>
          <w:shd w:val="clear" w:color="auto" w:fill="FFFFFF"/>
        </w:rPr>
        <w:t>提前改造苏州跨境电商综试区线上综合服务平台应对新监管方式实施，成功走通9710、9810模式业务，加快推进原业务认定办法下企业业务向新监管方式项下业务平滑过渡。</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7、推动B2C出口加速突破。</w:t>
      </w:r>
      <w:r>
        <w:rPr>
          <w:rFonts w:hint="eastAsia" w:ascii="仿宋_GB2312" w:hAnsi="仿宋_GB2312" w:eastAsia="仿宋_GB2312" w:cs="仿宋_GB2312"/>
          <w:sz w:val="32"/>
          <w:szCs w:val="32"/>
        </w:rPr>
        <w:t>组织召开9610和1210模式B2C出口业务现场推进会。协调海关优化完善通关服务，对进入监管现场的跨境电商邮件在核对关锁、关封无误后，原则上以抽查为主，减少查验比例，保证跨境电商邮件通关零延时，制作关封流转工作联系单及物品清单，做到对跨境电商邮件途中运输的有效监管，加速业务放量。</w:t>
      </w:r>
    </w:p>
    <w:p>
      <w:pPr>
        <w:ind w:firstLine="640" w:firstLineChars="200"/>
        <w:rPr>
          <w:rFonts w:hint="eastAsia"/>
        </w:rPr>
      </w:pPr>
      <w:r>
        <w:rPr>
          <w:rFonts w:hint="eastAsia" w:ascii="楷体" w:hAnsi="楷体" w:eastAsia="楷体" w:cs="楷体"/>
          <w:sz w:val="32"/>
          <w:szCs w:val="32"/>
        </w:rPr>
        <w:t>8、联合电商平台推出系列优惠。</w:t>
      </w:r>
      <w:r>
        <w:rPr>
          <w:rFonts w:hint="eastAsia" w:ascii="仿宋_GB2312" w:hAnsi="仿宋_GB2312" w:eastAsia="仿宋_GB2312" w:cs="仿宋_GB2312"/>
          <w:sz w:val="32"/>
          <w:szCs w:val="32"/>
        </w:rPr>
        <w:t>疫情最严重时期，我们在全国最早携手京东推出扶持企业拓销路计划，并入选工信部《中小企业数字化赋能服务产品及活动推荐目录》；联合阿里巴巴集团启动跨境出海、万商复苏等暖心合作计划，为企业争取费用减免及平台辅导等支持举措；联合天猫海外携手打造产业带数字出海联盟，推进太湖雪等苏州本地品牌企业跨境步伐，将更多的苏州特色产品通过跨境电商渠道卖到海外。</w:t>
      </w:r>
    </w:p>
    <w:p>
      <w:pPr>
        <w:pStyle w:val="2"/>
        <w:ind w:firstLine="640"/>
        <w:rPr>
          <w:rFonts w:hint="eastAsia" w:ascii="仿宋_GB2312" w:hAnsi="仿宋_GB2312" w:eastAsia="仿宋_GB2312" w:cs="仿宋_GB2312"/>
          <w:kern w:val="0"/>
          <w:szCs w:val="32"/>
          <w:lang w:bidi="ar"/>
        </w:rPr>
      </w:pPr>
      <w:r>
        <w:rPr>
          <w:rFonts w:hint="eastAsia" w:ascii="楷体" w:hAnsi="楷体" w:eastAsia="楷体" w:cs="楷体"/>
          <w:szCs w:val="32"/>
        </w:rPr>
        <w:t>9、率先完成多个业务试点首单。</w:t>
      </w:r>
      <w:r>
        <w:rPr>
          <w:rFonts w:hint="eastAsia" w:ascii="仿宋_GB2312" w:hAnsi="仿宋_GB2312" w:eastAsia="仿宋_GB2312" w:cs="仿宋_GB2312"/>
          <w:szCs w:val="32"/>
        </w:rPr>
        <w:t>加强与海关等密切配合，率先在全省完成多个业务试点首单。今年2月，我们在</w:t>
      </w:r>
      <w:r>
        <w:rPr>
          <w:rFonts w:hint="eastAsia" w:ascii="仿宋_GB2312" w:hAnsi="仿宋_GB2312" w:eastAsia="仿宋_GB2312" w:cs="仿宋_GB2312"/>
          <w:kern w:val="0"/>
          <w:szCs w:val="32"/>
          <w:lang w:bidi="ar"/>
        </w:rPr>
        <w:t>园区率先完成全省首单跨境电商出口海外仓商品退运试点，</w:t>
      </w:r>
      <w:r>
        <w:rPr>
          <w:rFonts w:hint="eastAsia" w:ascii="仿宋_GB2312" w:hAnsi="仿宋_GB2312" w:eastAsia="仿宋_GB2312" w:cs="仿宋_GB2312"/>
          <w:szCs w:val="32"/>
        </w:rPr>
        <w:t>有效解决跨境电商出口企业的后顾之忧</w:t>
      </w:r>
      <w:r>
        <w:rPr>
          <w:rFonts w:hint="eastAsia" w:ascii="仿宋_GB2312" w:hAnsi="仿宋_GB2312" w:eastAsia="仿宋_GB2312" w:cs="仿宋_GB2312"/>
          <w:kern w:val="0"/>
          <w:szCs w:val="32"/>
          <w:lang w:bidi="ar"/>
        </w:rPr>
        <w:t>；6月在高新区率先完成首票9610出口退货，成功打通关区9610出口退货通道；7月1日江苏首单跨境电商出口海外仓（9810模式）在园区顺利完成；7月3日高新区首批跨境电商9610出口包裹通过中欧班列（苏州）出口到欧洲，打通疫情下</w:t>
      </w:r>
      <w:r>
        <w:rPr>
          <w:rFonts w:hint="eastAsia" w:ascii="仿宋_GB2312" w:hAnsi="仿宋_GB2312" w:eastAsia="仿宋_GB2312" w:cs="仿宋_GB2312"/>
          <w:szCs w:val="32"/>
        </w:rPr>
        <w:t>跨境电商出口的“堵点”，有效</w:t>
      </w:r>
      <w:r>
        <w:rPr>
          <w:rFonts w:hint="eastAsia" w:ascii="仿宋_GB2312" w:hAnsi="仿宋_GB2312" w:eastAsia="仿宋_GB2312" w:cs="仿宋_GB2312"/>
          <w:kern w:val="0"/>
          <w:szCs w:val="32"/>
          <w:lang w:bidi="ar"/>
        </w:rPr>
        <w:t>拓展跨境电商零售多物流出口业务的新通路。</w:t>
      </w:r>
    </w:p>
    <w:p>
      <w:pPr>
        <w:ind w:firstLine="640" w:firstLineChars="200"/>
        <w:rPr>
          <w:rFonts w:hint="eastAsia"/>
        </w:rPr>
      </w:pPr>
      <w:r>
        <w:rPr>
          <w:rFonts w:hint="eastAsia" w:ascii="楷体" w:hAnsi="楷体" w:eastAsia="楷体" w:cs="楷体"/>
          <w:sz w:val="32"/>
          <w:szCs w:val="32"/>
        </w:rPr>
        <w:t>10、建立健全考核管理机制。</w:t>
      </w:r>
      <w:r>
        <w:rPr>
          <w:rFonts w:hint="eastAsia" w:ascii="仿宋_GB2312" w:hAnsi="仿宋_GB2312" w:eastAsia="仿宋_GB2312" w:cs="仿宋_GB2312"/>
          <w:kern w:val="0"/>
          <w:sz w:val="32"/>
          <w:szCs w:val="32"/>
          <w:lang w:bidi="ar"/>
        </w:rPr>
        <w:t>今年上半年我们提请市政府下达了各板块跨境电子商务B2B出口额、B2C出口额指导性目标。能够在全国综试区中率先下达量化考核指标，是由于我市建立了全国领先的跨境电商统计体系，能够每月统计分国别、地区、企业、产品的跨境电商统计数据。为进一步促进线上平台持续健康发展、激励线下园区在推进全市跨境电商跨越发展中发挥关键作用，印发出台了线下园区和线上平台考核管理办法，加强对综试区的考核工作，建立健全评估考核机制。目前正在进行半年度的摸底调研和综合考评工作。下一步，将</w:t>
      </w:r>
      <w:r>
        <w:rPr>
          <w:rFonts w:hint="eastAsia" w:ascii="仿宋_GB2312" w:eastAsia="仿宋_GB2312" w:cs="仿宋_GB2312"/>
          <w:sz w:val="32"/>
          <w:szCs w:val="32"/>
        </w:rPr>
        <w:t>采取打分的方式进行正式考核，对线下园区主要考核跨境电商监管方面的建设投入、促进跨境电商零售进出口业务的发展情况以及相关工作推进机制，考核合格的进行授牌，不合格的进行淘汰；对线上平台主要考核服务功能的完善提升、数字贸易平台的拓展功能、平台上线的企业备案数以及资金拨付使用情况，分值作为判断运维单位是否具备服务能力和相关资金扶持的依据。</w:t>
      </w:r>
    </w:p>
    <w:p>
      <w:pPr>
        <w:spacing w:line="560" w:lineRule="exact"/>
        <w:jc w:val="right"/>
        <w:rPr>
          <w:rFonts w:ascii="楷体_GB2312" w:hAnsi="仿宋" w:eastAsia="楷体_GB2312"/>
          <w:sz w:val="32"/>
          <w:szCs w:val="32"/>
        </w:rPr>
      </w:pPr>
      <w:r>
        <w:rPr>
          <w:rFonts w:hint="eastAsia" w:ascii="楷体_GB2312" w:hAnsi="仿宋" w:eastAsia="楷体_GB2312"/>
          <w:sz w:val="32"/>
          <w:szCs w:val="32"/>
        </w:rPr>
        <w:t>（苏州市商务局</w:t>
      </w:r>
      <w:r>
        <w:rPr>
          <w:rFonts w:hint="eastAsia" w:ascii="楷体_GB2312" w:hAnsi="仿宋" w:eastAsia="楷体_GB2312"/>
          <w:sz w:val="32"/>
          <w:szCs w:val="32"/>
          <w:lang w:val="en-US" w:eastAsia="zh-CN"/>
        </w:rPr>
        <w:t xml:space="preserve"> 电子商务处</w:t>
      </w:r>
      <w:r>
        <w:rPr>
          <w:rFonts w:hint="eastAsia" w:ascii="楷体_GB2312" w:hAnsi="仿宋" w:eastAsia="楷体_GB2312"/>
          <w:sz w:val="32"/>
          <w:szCs w:val="32"/>
        </w:rPr>
        <w:t>）</w:t>
      </w:r>
    </w:p>
    <w:p>
      <w:pPr>
        <w:spacing w:line="560" w:lineRule="exact"/>
        <w:ind w:firstLine="5120" w:firstLineChars="1600"/>
        <w:rPr>
          <w:rFonts w:hint="eastAsia" w:ascii="仿宋_GB2312" w:hAnsi="仿宋" w:eastAsia="仿宋_GB2312"/>
          <w:sz w:val="32"/>
          <w:szCs w:val="32"/>
        </w:rPr>
      </w:pPr>
    </w:p>
    <w:p>
      <w:pPr>
        <w:spacing w:line="560" w:lineRule="exact"/>
        <w:ind w:firstLine="5120" w:firstLineChars="1600"/>
        <w:rPr>
          <w:rFonts w:hint="eastAsia" w:ascii="仿宋_GB2312" w:hAnsi="仿宋" w:eastAsia="仿宋_GB2312"/>
          <w:sz w:val="32"/>
          <w:szCs w:val="32"/>
        </w:rPr>
      </w:pPr>
    </w:p>
    <w:p>
      <w:pPr>
        <w:spacing w:line="560" w:lineRule="exact"/>
        <w:ind w:firstLine="5120" w:firstLineChars="1600"/>
        <w:rPr>
          <w:rFonts w:hint="eastAsia" w:ascii="仿宋_GB2312" w:hAnsi="仿宋" w:eastAsia="仿宋_GB2312"/>
          <w:sz w:val="32"/>
          <w:szCs w:val="32"/>
        </w:rPr>
      </w:pPr>
    </w:p>
    <w:p>
      <w:pPr>
        <w:spacing w:line="560" w:lineRule="exact"/>
        <w:ind w:firstLine="5120" w:firstLineChars="1600"/>
        <w:rPr>
          <w:rFonts w:hint="eastAsia" w:ascii="仿宋_GB2312" w:hAnsi="仿宋" w:eastAsia="仿宋_GB2312"/>
          <w:sz w:val="32"/>
          <w:szCs w:val="32"/>
        </w:rPr>
      </w:pPr>
    </w:p>
    <w:p>
      <w:pPr>
        <w:pStyle w:val="2"/>
        <w:rPr>
          <w:rFonts w:hint="eastAsia"/>
        </w:rPr>
      </w:pPr>
    </w:p>
    <w:p>
      <w:pPr>
        <w:spacing w:line="560" w:lineRule="exact"/>
        <w:ind w:firstLine="5120" w:firstLineChars="1600"/>
        <w:rPr>
          <w:rFonts w:ascii="仿宋_GB2312" w:hAnsi="仿宋" w:eastAsia="仿宋_GB2312"/>
          <w:sz w:val="32"/>
          <w:szCs w:val="32"/>
        </w:rPr>
      </w:pPr>
    </w:p>
    <w:p>
      <w:pPr>
        <w:spacing w:line="560" w:lineRule="exact"/>
        <w:ind w:firstLine="5120" w:firstLineChars="1600"/>
        <w:rPr>
          <w:rFonts w:eastAsia="楷体_GB2312"/>
          <w:kern w:val="0"/>
          <w:sz w:val="32"/>
          <w:szCs w:val="32"/>
        </w:rPr>
      </w:pPr>
    </w:p>
    <w:p>
      <w:pPr>
        <w:spacing w:line="240" w:lineRule="atLeast"/>
        <w:rPr>
          <w:rFonts w:hint="eastAsia" w:eastAsia="楷体_GB2312"/>
          <w:sz w:val="32"/>
          <w:szCs w:val="32"/>
          <w:lang w:eastAsia="zh-CN"/>
        </w:rPr>
      </w:pPr>
      <w:r>
        <w:rPr>
          <w:rFonts w:hint="eastAsia" w:eastAsia="楷体_GB2312"/>
          <w:sz w:val="32"/>
          <w:szCs w:val="32"/>
        </w:rPr>
        <w:t>本期责任编辑：任星宇    校对：冯俊龙    审核：</w:t>
      </w:r>
      <w:r>
        <w:rPr>
          <w:rFonts w:hint="eastAsia" w:eastAsia="楷体_GB2312"/>
          <w:sz w:val="32"/>
          <w:szCs w:val="32"/>
          <w:lang w:eastAsia="zh-CN"/>
        </w:rPr>
        <w:t>王志明</w:t>
      </w:r>
    </w:p>
    <w:p>
      <w:pPr>
        <w:spacing w:line="400" w:lineRule="exact"/>
        <w:ind w:right="-328" w:rightChars="-156"/>
        <w:rPr>
          <w:rFonts w:eastAsia="仿宋_GB2312"/>
          <w:b/>
          <w:sz w:val="32"/>
          <w:szCs w:val="10"/>
          <w:u w:val="thick"/>
        </w:rPr>
      </w:pPr>
      <w:r>
        <w:rPr>
          <w:b/>
          <w:position w:val="18"/>
          <w:sz w:val="10"/>
          <w:szCs w:val="10"/>
          <w:u w:val="thick"/>
        </w:rPr>
        <w:t xml:space="preserve"> </w:t>
      </w:r>
      <w:r>
        <w:rPr>
          <w:rFonts w:eastAsia="仿宋_GB2312"/>
          <w:b/>
          <w:position w:val="18"/>
          <w:sz w:val="32"/>
          <w:szCs w:val="10"/>
          <w:u w:val="thick"/>
        </w:rPr>
        <w:t xml:space="preserve">                                                                                                                                                </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报送：市委、市人大、市政府、市政协领导，市委、市人大、</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市政府、市政协办公室，省商务厅领导，省商务厅办公室、</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综合处，各市、区党委、政府，各省级以上开发区党工委、</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管委会，各市、区商务局、招商局，工业园区经发委、社会</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事业局，各有关单位。</w:t>
      </w:r>
    </w:p>
    <w:p>
      <w:pPr>
        <w:spacing w:line="360" w:lineRule="exact"/>
        <w:ind w:right="-328" w:rightChars="-156"/>
        <w:rPr>
          <w:rFonts w:eastAsia="仿宋_GB2312"/>
          <w:kern w:val="0"/>
          <w:sz w:val="32"/>
          <w:szCs w:val="32"/>
        </w:rPr>
      </w:pPr>
      <w:r>
        <w:rPr>
          <w:rFonts w:eastAsia="仿宋_GB2312"/>
          <w:b/>
          <w:kern w:val="0"/>
          <w:position w:val="18"/>
          <w:sz w:val="32"/>
          <w:szCs w:val="32"/>
          <w:u w:val="thick"/>
        </w:rPr>
        <w:t xml:space="preserve">                                                                                                                                                                    </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苏州市西环路1638号    邮编：215004    共印220份</w:t>
      </w:r>
    </w:p>
    <w:p>
      <w:pPr>
        <w:spacing w:line="360" w:lineRule="exact"/>
        <w:ind w:left="-178" w:leftChars="-85" w:right="-693" w:rightChars="-330" w:firstLine="380" w:firstLineChars="119"/>
        <w:rPr>
          <w:rFonts w:ascii="仿宋" w:hAnsi="仿宋" w:eastAsia="仿宋"/>
          <w:sz w:val="32"/>
          <w:szCs w:val="32"/>
        </w:rPr>
      </w:pPr>
      <w:r>
        <w:rPr>
          <w:rFonts w:eastAsia="仿宋_GB2312"/>
          <w:kern w:val="0"/>
          <w:sz w:val="32"/>
          <w:szCs w:val="32"/>
        </w:rPr>
        <w:t>电话：686303</w:t>
      </w:r>
      <w:r>
        <w:rPr>
          <w:rFonts w:hint="eastAsia" w:eastAsia="仿宋_GB2312"/>
          <w:kern w:val="0"/>
          <w:sz w:val="32"/>
          <w:szCs w:val="32"/>
        </w:rPr>
        <w:t>15</w:t>
      </w:r>
      <w:r>
        <w:rPr>
          <w:rFonts w:eastAsia="仿宋_GB2312"/>
          <w:kern w:val="0"/>
          <w:sz w:val="32"/>
          <w:szCs w:val="32"/>
        </w:rPr>
        <w:t xml:space="preserve">         传真：68707112</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736B"/>
    <w:rsid w:val="00012748"/>
    <w:rsid w:val="00016D12"/>
    <w:rsid w:val="00027EBF"/>
    <w:rsid w:val="00036DB2"/>
    <w:rsid w:val="000411A0"/>
    <w:rsid w:val="000522F1"/>
    <w:rsid w:val="00054A2F"/>
    <w:rsid w:val="00055988"/>
    <w:rsid w:val="00056F52"/>
    <w:rsid w:val="00071504"/>
    <w:rsid w:val="00074B9F"/>
    <w:rsid w:val="00095CFA"/>
    <w:rsid w:val="000C692D"/>
    <w:rsid w:val="000D2C40"/>
    <w:rsid w:val="001022B1"/>
    <w:rsid w:val="0010736B"/>
    <w:rsid w:val="00110EE5"/>
    <w:rsid w:val="00121020"/>
    <w:rsid w:val="00144145"/>
    <w:rsid w:val="00145C64"/>
    <w:rsid w:val="00164D6B"/>
    <w:rsid w:val="001959FB"/>
    <w:rsid w:val="001D5E8D"/>
    <w:rsid w:val="001E0B4A"/>
    <w:rsid w:val="001F6BE3"/>
    <w:rsid w:val="00206482"/>
    <w:rsid w:val="00221679"/>
    <w:rsid w:val="002366DB"/>
    <w:rsid w:val="00256DC2"/>
    <w:rsid w:val="00292451"/>
    <w:rsid w:val="002C3148"/>
    <w:rsid w:val="002F670C"/>
    <w:rsid w:val="00313F30"/>
    <w:rsid w:val="00321BAB"/>
    <w:rsid w:val="003236C2"/>
    <w:rsid w:val="00336F59"/>
    <w:rsid w:val="00340431"/>
    <w:rsid w:val="00341E4B"/>
    <w:rsid w:val="00376019"/>
    <w:rsid w:val="00376D09"/>
    <w:rsid w:val="00397245"/>
    <w:rsid w:val="00397305"/>
    <w:rsid w:val="003A3ADA"/>
    <w:rsid w:val="003A3F2F"/>
    <w:rsid w:val="003B5404"/>
    <w:rsid w:val="003C269B"/>
    <w:rsid w:val="003C285B"/>
    <w:rsid w:val="003D09B5"/>
    <w:rsid w:val="003D651D"/>
    <w:rsid w:val="003F2DF7"/>
    <w:rsid w:val="003F49FB"/>
    <w:rsid w:val="00407777"/>
    <w:rsid w:val="0042329C"/>
    <w:rsid w:val="00437531"/>
    <w:rsid w:val="00455ECD"/>
    <w:rsid w:val="0045638B"/>
    <w:rsid w:val="00471C26"/>
    <w:rsid w:val="00471FB9"/>
    <w:rsid w:val="00485030"/>
    <w:rsid w:val="00485347"/>
    <w:rsid w:val="004A7DA4"/>
    <w:rsid w:val="004B4DEE"/>
    <w:rsid w:val="004E2F06"/>
    <w:rsid w:val="004F0157"/>
    <w:rsid w:val="0050324C"/>
    <w:rsid w:val="00504646"/>
    <w:rsid w:val="0052219E"/>
    <w:rsid w:val="00523FE9"/>
    <w:rsid w:val="005355E2"/>
    <w:rsid w:val="00557EAE"/>
    <w:rsid w:val="00564EF2"/>
    <w:rsid w:val="00573879"/>
    <w:rsid w:val="0058188A"/>
    <w:rsid w:val="00582BE5"/>
    <w:rsid w:val="00583C53"/>
    <w:rsid w:val="005A2D8C"/>
    <w:rsid w:val="006021BF"/>
    <w:rsid w:val="00604E02"/>
    <w:rsid w:val="006079CB"/>
    <w:rsid w:val="00614B84"/>
    <w:rsid w:val="00650DD2"/>
    <w:rsid w:val="006640E5"/>
    <w:rsid w:val="00665FD3"/>
    <w:rsid w:val="00666DD1"/>
    <w:rsid w:val="00671341"/>
    <w:rsid w:val="006812E7"/>
    <w:rsid w:val="00694D22"/>
    <w:rsid w:val="006C47E9"/>
    <w:rsid w:val="006C7912"/>
    <w:rsid w:val="006C7E10"/>
    <w:rsid w:val="006D2893"/>
    <w:rsid w:val="006E0981"/>
    <w:rsid w:val="006E2864"/>
    <w:rsid w:val="006E3C5B"/>
    <w:rsid w:val="006E449A"/>
    <w:rsid w:val="006E614E"/>
    <w:rsid w:val="006F25E4"/>
    <w:rsid w:val="006F7A34"/>
    <w:rsid w:val="0074393C"/>
    <w:rsid w:val="00752F50"/>
    <w:rsid w:val="00787BF6"/>
    <w:rsid w:val="00787FBD"/>
    <w:rsid w:val="00794DB3"/>
    <w:rsid w:val="00796B67"/>
    <w:rsid w:val="007A6343"/>
    <w:rsid w:val="007B21F6"/>
    <w:rsid w:val="007B73FB"/>
    <w:rsid w:val="007F5C63"/>
    <w:rsid w:val="007F7370"/>
    <w:rsid w:val="0080783C"/>
    <w:rsid w:val="0081751A"/>
    <w:rsid w:val="00823D47"/>
    <w:rsid w:val="008651C2"/>
    <w:rsid w:val="008766CF"/>
    <w:rsid w:val="008913EA"/>
    <w:rsid w:val="008B4B56"/>
    <w:rsid w:val="008C14F7"/>
    <w:rsid w:val="00906FE9"/>
    <w:rsid w:val="00912A6C"/>
    <w:rsid w:val="00914DCE"/>
    <w:rsid w:val="009219DE"/>
    <w:rsid w:val="00923EC9"/>
    <w:rsid w:val="00951EA8"/>
    <w:rsid w:val="009534FB"/>
    <w:rsid w:val="00961B6E"/>
    <w:rsid w:val="00965330"/>
    <w:rsid w:val="009952AC"/>
    <w:rsid w:val="009B1C78"/>
    <w:rsid w:val="009C18CC"/>
    <w:rsid w:val="00A12F48"/>
    <w:rsid w:val="00A3404B"/>
    <w:rsid w:val="00A362CD"/>
    <w:rsid w:val="00A6374B"/>
    <w:rsid w:val="00A85083"/>
    <w:rsid w:val="00B07A34"/>
    <w:rsid w:val="00B20226"/>
    <w:rsid w:val="00B20459"/>
    <w:rsid w:val="00B27531"/>
    <w:rsid w:val="00B3113A"/>
    <w:rsid w:val="00B55418"/>
    <w:rsid w:val="00B76BCF"/>
    <w:rsid w:val="00B92A36"/>
    <w:rsid w:val="00B95745"/>
    <w:rsid w:val="00BA1533"/>
    <w:rsid w:val="00BA2623"/>
    <w:rsid w:val="00BB5164"/>
    <w:rsid w:val="00BB7594"/>
    <w:rsid w:val="00BC6DFB"/>
    <w:rsid w:val="00BC76EB"/>
    <w:rsid w:val="00BD0F22"/>
    <w:rsid w:val="00BE0CFA"/>
    <w:rsid w:val="00BE52DC"/>
    <w:rsid w:val="00C240E4"/>
    <w:rsid w:val="00C53D12"/>
    <w:rsid w:val="00C56F04"/>
    <w:rsid w:val="00C827C8"/>
    <w:rsid w:val="00C94BA3"/>
    <w:rsid w:val="00CA2268"/>
    <w:rsid w:val="00CA35EF"/>
    <w:rsid w:val="00CA7D75"/>
    <w:rsid w:val="00CB2408"/>
    <w:rsid w:val="00CD5946"/>
    <w:rsid w:val="00CE5971"/>
    <w:rsid w:val="00CF3C60"/>
    <w:rsid w:val="00D15184"/>
    <w:rsid w:val="00D340FB"/>
    <w:rsid w:val="00D60365"/>
    <w:rsid w:val="00D60A77"/>
    <w:rsid w:val="00D71AB7"/>
    <w:rsid w:val="00D74D19"/>
    <w:rsid w:val="00D80269"/>
    <w:rsid w:val="00D83CF2"/>
    <w:rsid w:val="00DB2250"/>
    <w:rsid w:val="00DB3F70"/>
    <w:rsid w:val="00DC1322"/>
    <w:rsid w:val="00DC34F7"/>
    <w:rsid w:val="00DE785A"/>
    <w:rsid w:val="00DF108C"/>
    <w:rsid w:val="00E02BFA"/>
    <w:rsid w:val="00E2170C"/>
    <w:rsid w:val="00E24D8C"/>
    <w:rsid w:val="00E85E8E"/>
    <w:rsid w:val="00E87133"/>
    <w:rsid w:val="00E8759B"/>
    <w:rsid w:val="00ED33B4"/>
    <w:rsid w:val="00ED7300"/>
    <w:rsid w:val="00F058FE"/>
    <w:rsid w:val="00F13600"/>
    <w:rsid w:val="00F36B3C"/>
    <w:rsid w:val="00F40207"/>
    <w:rsid w:val="00F5109E"/>
    <w:rsid w:val="00F547FD"/>
    <w:rsid w:val="00F617FE"/>
    <w:rsid w:val="00F700DD"/>
    <w:rsid w:val="00F71061"/>
    <w:rsid w:val="00F80E1F"/>
    <w:rsid w:val="00F856C6"/>
    <w:rsid w:val="00FA16B8"/>
    <w:rsid w:val="00FB7507"/>
    <w:rsid w:val="00FE053E"/>
    <w:rsid w:val="00FE234F"/>
    <w:rsid w:val="00FF5C67"/>
    <w:rsid w:val="00FF789D"/>
    <w:rsid w:val="027E47BA"/>
    <w:rsid w:val="05135062"/>
    <w:rsid w:val="0C5A6A29"/>
    <w:rsid w:val="0D0F583A"/>
    <w:rsid w:val="0D6011BA"/>
    <w:rsid w:val="11B7024A"/>
    <w:rsid w:val="129F75AE"/>
    <w:rsid w:val="14B2761B"/>
    <w:rsid w:val="191238D7"/>
    <w:rsid w:val="1CA05D01"/>
    <w:rsid w:val="1DEA0258"/>
    <w:rsid w:val="1EFE45D1"/>
    <w:rsid w:val="1F5F476B"/>
    <w:rsid w:val="24FD00E7"/>
    <w:rsid w:val="29044EF7"/>
    <w:rsid w:val="2C44629A"/>
    <w:rsid w:val="2D7C4100"/>
    <w:rsid w:val="2F3E71F4"/>
    <w:rsid w:val="31160DC4"/>
    <w:rsid w:val="325866C9"/>
    <w:rsid w:val="33C70D1F"/>
    <w:rsid w:val="3E297D8B"/>
    <w:rsid w:val="571D60E5"/>
    <w:rsid w:val="5A034F00"/>
    <w:rsid w:val="5ACB0DC5"/>
    <w:rsid w:val="65F34C50"/>
    <w:rsid w:val="670A41F4"/>
    <w:rsid w:val="67373521"/>
    <w:rsid w:val="6ADD2190"/>
    <w:rsid w:val="6D4E5AB9"/>
    <w:rsid w:val="6DD5228B"/>
    <w:rsid w:val="703C599B"/>
    <w:rsid w:val="76565CE1"/>
    <w:rsid w:val="78E67F4A"/>
    <w:rsid w:val="7AB73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wordWrap w:val="0"/>
      <w:autoSpaceDE/>
      <w:autoSpaceDN/>
      <w:spacing w:before="0" w:line="240" w:lineRule="auto"/>
      <w:ind w:left="0" w:firstLine="1040" w:firstLineChars="200"/>
      <w:jc w:val="left"/>
      <w:outlineLvl w:val="0"/>
    </w:pPr>
    <w:rPr>
      <w:rFonts w:ascii="Times New Roman" w:hAnsi="Times New Roman" w:eastAsia="黑体"/>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日期 Char"/>
    <w:basedOn w:val="8"/>
    <w:link w:val="3"/>
    <w:semiHidden/>
    <w:qFormat/>
    <w:uiPriority w:val="99"/>
    <w:rPr>
      <w:rFonts w:ascii="Times New Roman" w:hAnsi="Times New Roman" w:eastAsia="宋体" w:cs="Times New Roman"/>
      <w:szCs w:val="24"/>
    </w:rPr>
  </w:style>
  <w:style w:type="paragraph" w:styleId="14">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529</Words>
  <Characters>3019</Characters>
  <Lines>25</Lines>
  <Paragraphs>7</Paragraphs>
  <TotalTime>1</TotalTime>
  <ScaleCrop>false</ScaleCrop>
  <LinksUpToDate>false</LinksUpToDate>
  <CharactersWithSpaces>3541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2020-08-01T04:07:00Z</dcterms:created>
  <dc:creator>Administrator</dc:creator>
  <cp:lastModifiedBy>AF可能缺少淡水</cp:lastModifiedBy>
  <cp:lastPrinted>2020-07-30T05:19:00Z</cp:lastPrinted>
  <dcterms:modified xsi:type="dcterms:W3CDTF">2020-08-04T05:37:48Z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