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陈芍开律师简介</w:t>
      </w:r>
    </w:p>
    <w:p>
      <w:pPr>
        <w:rPr>
          <w:rFonts w:ascii="宋体" w:hAnsi="宋体" w:eastAsia="宋体" w:cs="Times New Roman"/>
          <w:b/>
          <w:bCs/>
          <w:sz w:val="24"/>
        </w:rPr>
      </w:pPr>
      <w:r>
        <w:rPr>
          <w:rFonts w:ascii="宋体" w:hAnsi="宋体" w:eastAsia="宋体" w:cs="Times New Roman"/>
          <w:b/>
          <w:bCs/>
          <w:sz w:val="24"/>
        </w:rPr>
        <w:t>联系方式：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手机：15950006660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邮箱：</w:t>
      </w:r>
      <w:r>
        <w:fldChar w:fldCharType="begin"/>
      </w:r>
      <w:r>
        <w:instrText xml:space="preserve"> HYPERLINK "mailto:shaokai.chen@dentons.cn" </w:instrText>
      </w:r>
      <w:r>
        <w:fldChar w:fldCharType="separate"/>
      </w:r>
      <w:r>
        <w:rPr>
          <w:rStyle w:val="6"/>
          <w:rFonts w:ascii="宋体" w:hAnsi="宋体" w:eastAsia="宋体" w:cs="Times New Roman"/>
          <w:sz w:val="24"/>
        </w:rPr>
        <w:t>shaokai.chen@dentons.cn</w:t>
      </w:r>
      <w:r>
        <w:rPr>
          <w:rStyle w:val="6"/>
          <w:rFonts w:ascii="宋体" w:hAnsi="宋体" w:eastAsia="宋体" w:cs="Times New Roman"/>
          <w:sz w:val="24"/>
        </w:rPr>
        <w:fldChar w:fldCharType="end"/>
      </w:r>
    </w:p>
    <w:p>
      <w:pPr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电话：(0512)6609 5590-8028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传真：(0512)6507 6302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b/>
          <w:bCs/>
          <w:sz w:val="24"/>
        </w:rPr>
      </w:pPr>
      <w:r>
        <w:rPr>
          <w:rFonts w:ascii="宋体" w:hAnsi="宋体" w:eastAsia="宋体" w:cs="Times New Roman"/>
          <w:b/>
          <w:bCs/>
          <w:sz w:val="24"/>
        </w:rPr>
        <w:t>电子照片：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drawing>
          <wp:inline distT="0" distB="0" distL="0" distR="0">
            <wp:extent cx="1048385" cy="1588770"/>
            <wp:effectExtent l="0" t="0" r="5715" b="0"/>
            <wp:docPr id="1" name="图片 1" descr="女人有长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女人有长发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87" cy="159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擅长领域：</w:t>
      </w:r>
      <w:r>
        <w:rPr>
          <w:rFonts w:hint="eastAsia" w:ascii="宋体" w:hAnsi="宋体" w:eastAsia="宋体" w:cs="Times New Roman"/>
          <w:sz w:val="24"/>
        </w:rPr>
        <w:t>跨境投资 国际贸易 国际诉讼和仲裁、国际金融</w:t>
      </w:r>
    </w:p>
    <w:p>
      <w:pPr>
        <w:rPr>
          <w:rFonts w:ascii="宋体" w:hAnsi="宋体" w:eastAsia="宋体" w:cs="Times New Roman"/>
          <w:sz w:val="24"/>
        </w:rPr>
      </w:pPr>
    </w:p>
    <w:p>
      <w:pPr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陈芍开律师</w:t>
      </w:r>
      <w:r>
        <w:rPr>
          <w:rFonts w:hint="eastAsia" w:ascii="宋体" w:hAnsi="宋体" w:eastAsia="宋体" w:cs="Times New Roman"/>
          <w:sz w:val="24"/>
        </w:rPr>
        <w:t>是司法部千人涉外律师库律师、全国律协涉外律师领军人才，专注于跨境投资“一带一路”法律业务，</w:t>
      </w:r>
      <w:r>
        <w:rPr>
          <w:rFonts w:ascii="宋体" w:hAnsi="宋体" w:eastAsia="宋体" w:cs="Times New Roman"/>
          <w:sz w:val="24"/>
        </w:rPr>
        <w:t>曾代表客户全程参与罗马尼亚、阿联酋、香港、美国</w:t>
      </w:r>
      <w:r>
        <w:rPr>
          <w:rFonts w:hint="eastAsia" w:ascii="宋体" w:hAnsi="宋体" w:eastAsia="宋体" w:cs="Times New Roman"/>
          <w:sz w:val="24"/>
        </w:rPr>
        <w:t>、越南、印尼、柬埔寨</w:t>
      </w:r>
      <w:r>
        <w:rPr>
          <w:rFonts w:ascii="宋体" w:hAnsi="宋体" w:eastAsia="宋体" w:cs="Times New Roman"/>
          <w:sz w:val="24"/>
        </w:rPr>
        <w:t>等地</w:t>
      </w:r>
      <w:r>
        <w:rPr>
          <w:rFonts w:hint="eastAsia" w:ascii="宋体" w:hAnsi="宋体" w:eastAsia="宋体" w:cs="Times New Roman"/>
          <w:sz w:val="24"/>
        </w:rPr>
        <w:t>绿地</w:t>
      </w:r>
      <w:r>
        <w:rPr>
          <w:rFonts w:ascii="宋体" w:hAnsi="宋体" w:eastAsia="宋体" w:cs="Times New Roman"/>
          <w:sz w:val="24"/>
        </w:rPr>
        <w:t>投资和</w:t>
      </w:r>
      <w:r>
        <w:rPr>
          <w:rFonts w:hint="eastAsia" w:ascii="宋体" w:hAnsi="宋体" w:eastAsia="宋体" w:cs="Times New Roman"/>
          <w:sz w:val="24"/>
        </w:rPr>
        <w:t>股权</w:t>
      </w:r>
      <w:r>
        <w:rPr>
          <w:rFonts w:ascii="宋体" w:hAnsi="宋体" w:eastAsia="宋体" w:cs="Times New Roman"/>
          <w:sz w:val="24"/>
        </w:rPr>
        <w:t>并购项目，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并</w:t>
      </w:r>
      <w:r>
        <w:rPr>
          <w:rFonts w:ascii="宋体" w:hAnsi="宋体" w:eastAsia="宋体" w:cs="Times New Roman"/>
          <w:sz w:val="24"/>
        </w:rPr>
        <w:t>为跨境并购项目提供融资涉及的交易结构等合规事项提供法律意见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协助来自俄罗斯</w:t>
      </w:r>
      <w:r>
        <w:rPr>
          <w:rFonts w:hint="eastAsia" w:ascii="宋体" w:hAnsi="宋体" w:eastAsia="宋体" w:cs="Times New Roman"/>
          <w:sz w:val="24"/>
        </w:rPr>
        <w:t>、德国、以色列客户等外国</w:t>
      </w:r>
      <w:r>
        <w:rPr>
          <w:rFonts w:ascii="宋体" w:hAnsi="宋体" w:eastAsia="宋体" w:cs="Times New Roman"/>
          <w:sz w:val="24"/>
        </w:rPr>
        <w:t>企业</w:t>
      </w:r>
      <w:r>
        <w:rPr>
          <w:rFonts w:hint="eastAsia" w:ascii="宋体" w:hAnsi="宋体" w:eastAsia="宋体" w:cs="Times New Roman"/>
          <w:sz w:val="24"/>
        </w:rPr>
        <w:t>处理跨境投资和贸易纠纷，</w:t>
      </w:r>
      <w:r>
        <w:rPr>
          <w:rFonts w:ascii="宋体" w:hAnsi="宋体" w:eastAsia="宋体" w:cs="Times New Roman"/>
          <w:sz w:val="24"/>
        </w:rPr>
        <w:t>取得良好效果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rPr>
          <w:rFonts w:ascii="宋体" w:hAnsi="宋体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1"/>
    <w:rsid w:val="00240321"/>
    <w:rsid w:val="00467F58"/>
    <w:rsid w:val="00475DB6"/>
    <w:rsid w:val="007C1DBC"/>
    <w:rsid w:val="008E0CA1"/>
    <w:rsid w:val="00A05F9F"/>
    <w:rsid w:val="00A47505"/>
    <w:rsid w:val="00B20048"/>
    <w:rsid w:val="06FE0F31"/>
    <w:rsid w:val="356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6</TotalTime>
  <ScaleCrop>false</ScaleCrop>
  <LinksUpToDate>false</LinksUpToDate>
  <CharactersWithSpaces>364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2021-11-18T03:02:00Z</dcterms:created>
  <dc:creator>陆周怡 Zhouyi Lu</dc:creator>
  <cp:lastModifiedBy>邵培根</cp:lastModifiedBy>
  <dcterms:modified xsi:type="dcterms:W3CDTF">2021-12-13T05:38:48Z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94FF4DAEA80B4EACBC9E4F2EC4911E07</vt:lpwstr>
  </property>
</Properties>
</file>