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个人简介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color w:val="FF6600"/>
          <w:sz w:val="24"/>
        </w:rPr>
      </w:pPr>
      <w:r>
        <w:rPr>
          <w:rFonts w:hint="eastAsia" w:ascii="黑体" w:hAnsi="黑体" w:eastAsia="黑体"/>
          <w:color w:val="FF6600"/>
          <w:sz w:val="24"/>
          <w:lang w:eastAsia="zh-CN"/>
        </w:rPr>
        <w:drawing>
          <wp:inline distT="0" distB="0" distL="114300" distR="114300">
            <wp:extent cx="2190115" cy="2190115"/>
            <wp:effectExtent l="0" t="0" r="635" b="635"/>
            <wp:docPr id="1" name="图片 1" descr="刘宏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刘宏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60" w:lineRule="auto"/>
        <w:rPr>
          <w:rFonts w:ascii="黑体" w:hAnsi="黑体" w:eastAsia="黑体"/>
          <w:color w:val="FF6600"/>
          <w:sz w:val="24"/>
        </w:rPr>
      </w:pPr>
      <w:r>
        <w:rPr>
          <w:rFonts w:hint="eastAsia" w:ascii="黑体" w:hAnsi="黑体" w:eastAsia="黑体"/>
          <w:color w:val="FF6600"/>
          <w:sz w:val="24"/>
        </w:rPr>
        <w:t>刘宏伟</w:t>
      </w:r>
    </w:p>
    <w:p>
      <w:pPr>
        <w:rPr>
          <w:rFonts w:ascii="Calibri" w:hAnsi="Calibri"/>
          <w:color w:val="666666"/>
          <w:sz w:val="20"/>
          <w:szCs w:val="20"/>
        </w:rPr>
      </w:pPr>
      <w:r>
        <w:rPr>
          <w:rFonts w:hint="eastAsia" w:ascii="Calibri" w:hAnsi="Calibri"/>
          <w:color w:val="666666"/>
          <w:sz w:val="20"/>
          <w:szCs w:val="20"/>
        </w:rPr>
        <w:t>电话：(86-512) 6299 8859</w:t>
      </w:r>
    </w:p>
    <w:p>
      <w:pPr>
        <w:rPr>
          <w:rFonts w:ascii="Calibri" w:hAnsi="Calibri"/>
          <w:color w:val="666666"/>
          <w:sz w:val="20"/>
          <w:szCs w:val="20"/>
        </w:rPr>
      </w:pPr>
      <w:r>
        <w:rPr>
          <w:rFonts w:hint="eastAsia" w:ascii="Calibri" w:hAnsi="Calibri"/>
          <w:color w:val="666666"/>
          <w:sz w:val="20"/>
          <w:szCs w:val="20"/>
        </w:rPr>
        <w:t xml:space="preserve">传真：(86-512) 6299 8829 </w:t>
      </w:r>
    </w:p>
    <w:p>
      <w:pPr>
        <w:rPr>
          <w:rFonts w:ascii="Calibri" w:hAnsi="Calibri"/>
          <w:color w:val="666666"/>
          <w:sz w:val="20"/>
          <w:szCs w:val="20"/>
        </w:rPr>
      </w:pPr>
      <w:r>
        <w:rPr>
          <w:rFonts w:hint="eastAsia" w:ascii="Calibri" w:hAnsi="Calibri"/>
          <w:color w:val="666666"/>
          <w:sz w:val="20"/>
          <w:szCs w:val="20"/>
        </w:rPr>
        <w:t>手机：136 0613 2232</w:t>
      </w:r>
    </w:p>
    <w:p>
      <w:pPr>
        <w:rPr>
          <w:rFonts w:ascii="Verdana" w:hAnsi="Verdana"/>
          <w:color w:val="6599CC"/>
          <w:sz w:val="20"/>
          <w:szCs w:val="20"/>
          <w:u w:val="single"/>
        </w:rPr>
      </w:pPr>
      <w:r>
        <w:rPr>
          <w:rFonts w:hint="eastAsia" w:ascii="Calibri" w:hAnsi="Calibri"/>
          <w:color w:val="666666"/>
          <w:sz w:val="20"/>
          <w:szCs w:val="20"/>
        </w:rPr>
        <w:t xml:space="preserve">邮件: </w:t>
      </w:r>
      <w:r>
        <w:fldChar w:fldCharType="begin"/>
      </w:r>
      <w:r>
        <w:instrText xml:space="preserve"> HYPERLINK "mailto:howard.liu@liangcolegal.com" </w:instrText>
      </w:r>
      <w:r>
        <w:fldChar w:fldCharType="separate"/>
      </w:r>
      <w:r>
        <w:rPr>
          <w:rStyle w:val="8"/>
          <w:rFonts w:hint="eastAsia"/>
          <w:sz w:val="20"/>
          <w:szCs w:val="20"/>
        </w:rPr>
        <w:t>howard.liu@liangcolegal.com</w:t>
      </w:r>
      <w:r>
        <w:rPr>
          <w:rStyle w:val="8"/>
          <w:rFonts w:hint="eastAsia"/>
          <w:sz w:val="20"/>
          <w:szCs w:val="20"/>
        </w:rPr>
        <w:fldChar w:fldCharType="end"/>
      </w:r>
    </w:p>
    <w:p>
      <w:pPr>
        <w:spacing w:before="156" w:beforeLines="50" w:after="156" w:afterLines="50" w:line="360" w:lineRule="auto"/>
        <w:rPr>
          <w:rFonts w:ascii="黑体" w:hAnsi="黑体" w:eastAsia="黑体"/>
          <w:sz w:val="20"/>
          <w:szCs w:val="20"/>
        </w:rPr>
      </w:pPr>
    </w:p>
    <w:p>
      <w:pPr>
        <w:spacing w:before="156" w:beforeLines="50" w:after="156" w:afterLines="50" w:line="360" w:lineRule="auto"/>
        <w:rPr>
          <w:rFonts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良翰律师事务所首席合伙人，中国法学会律师法学研究会理事，苏州市行政与经济法研究会副会长，上海市涉外法律人才。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sz w:val="20"/>
          <w:szCs w:val="20"/>
        </w:rPr>
      </w:pPr>
      <w:r>
        <w:rPr>
          <w:rFonts w:ascii="黑体" w:hAnsi="黑体" w:eastAsia="黑体"/>
          <w:sz w:val="20"/>
          <w:szCs w:val="20"/>
        </w:rPr>
        <w:t>刘</w:t>
      </w:r>
      <w:r>
        <w:rPr>
          <w:rFonts w:hint="eastAsia" w:ascii="黑体" w:hAnsi="黑体" w:eastAsia="黑体"/>
          <w:sz w:val="20"/>
          <w:szCs w:val="20"/>
        </w:rPr>
        <w:t>宏伟律师</w:t>
      </w:r>
      <w:r>
        <w:rPr>
          <w:rFonts w:ascii="黑体" w:hAnsi="黑体" w:eastAsia="黑体"/>
          <w:sz w:val="20"/>
          <w:szCs w:val="20"/>
        </w:rPr>
        <w:t>的主要业务领域为法律顾问、房地产</w:t>
      </w:r>
      <w:r>
        <w:rPr>
          <w:rFonts w:hint="eastAsia" w:ascii="黑体" w:hAnsi="黑体" w:eastAsia="黑体"/>
          <w:sz w:val="20"/>
          <w:szCs w:val="20"/>
        </w:rPr>
        <w:t>和</w:t>
      </w:r>
      <w:r>
        <w:rPr>
          <w:rFonts w:ascii="黑体" w:hAnsi="黑体" w:eastAsia="黑体"/>
          <w:sz w:val="20"/>
          <w:szCs w:val="20"/>
        </w:rPr>
        <w:t>基础设施、争议解决等。</w:t>
      </w:r>
      <w:r>
        <w:rPr>
          <w:rFonts w:hint="eastAsia" w:ascii="黑体" w:hAnsi="黑体" w:eastAsia="黑体"/>
          <w:sz w:val="20"/>
          <w:szCs w:val="20"/>
        </w:rPr>
        <w:t>善于运用诉讼可视化的工作理念，被客户喻为“优秀的商业诉讼律师团队”。</w:t>
      </w:r>
    </w:p>
    <w:p>
      <w:pPr>
        <w:spacing w:before="156" w:beforeLines="50" w:after="156" w:afterLines="50" w:line="360" w:lineRule="auto"/>
        <w:rPr>
          <w:rFonts w:ascii="黑体" w:hAnsi="黑体" w:eastAsia="黑体"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/>
          <w:sz w:val="20"/>
          <w:szCs w:val="20"/>
        </w:rPr>
        <w:t>积极参与政府立法起草，立法后评估和地方性法规、政府规章和政府规范性文件清理工作，获得专家高度好评。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t>在合规业务方面积极探索，有着丰富的行业合规经验。</w:t>
      </w:r>
    </w:p>
    <w:sectPr>
      <w:headerReference r:id="rId3" w:type="default"/>
      <w:footerReference r:id="rId4" w:type="default"/>
      <w:footerReference r:id="rId5" w:type="even"/>
      <w:pgSz w:w="11906" w:h="16838"/>
      <w:pgMar w:top="1710" w:right="1800" w:bottom="1440" w:left="1701" w:header="99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</w:p>
  <w:p>
    <w:pPr>
      <w:pStyle w:val="2"/>
      <w:jc w:val="right"/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94" w:leftChars="-270" w:hanging="273" w:hangingChars="97"/>
      <w:jc w:val="left"/>
      <w:rPr>
        <w:rStyle w:val="11"/>
        <w:rFonts w:ascii="楷体" w:hAnsi="楷体" w:eastAsia="楷体" w:cs="Lucida Sans Unicode"/>
        <w:b/>
        <w:i w:val="0"/>
        <w:iCs w:val="0"/>
        <w:color w:val="00696E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5F"/>
    <w:rsid w:val="00000BB3"/>
    <w:rsid w:val="000C53DC"/>
    <w:rsid w:val="000E504A"/>
    <w:rsid w:val="00185026"/>
    <w:rsid w:val="001D335F"/>
    <w:rsid w:val="00251B9B"/>
    <w:rsid w:val="00350635"/>
    <w:rsid w:val="0036360B"/>
    <w:rsid w:val="0066426E"/>
    <w:rsid w:val="009D1659"/>
    <w:rsid w:val="00AF0EEB"/>
    <w:rsid w:val="00DB4987"/>
    <w:rsid w:val="00DF52BA"/>
    <w:rsid w:val="00F45B69"/>
    <w:rsid w:val="0E611153"/>
    <w:rsid w:val="10CA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rFonts w:hint="default" w:ascii="Verdana" w:hAnsi="Verdana"/>
      <w:color w:val="6699CC"/>
      <w:u w:val="single"/>
    </w:rPr>
  </w:style>
  <w:style w:type="character" w:customStyle="1" w:styleId="9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Subtle Emphasis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216</Characters>
  <Lines>9</Lines>
  <Paragraphs>8</Paragraphs>
  <TotalTime>8</TotalTime>
  <ScaleCrop>false</ScaleCrop>
  <LinksUpToDate>false</LinksUpToDate>
  <CharactersWithSpaces>407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2021-12-05T13:52:00Z</dcterms:created>
  <dc:creator>Howard LIU</dc:creator>
  <cp:lastModifiedBy>邵培根</cp:lastModifiedBy>
  <cp:lastPrinted>2017-12-16T22:58:00Z</cp:lastPrinted>
  <dcterms:modified xsi:type="dcterms:W3CDTF">2021-12-07T08:25:14Z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C91FF696DD3D486F8298324F07CA2FFB</vt:lpwstr>
  </property>
</Properties>
</file>