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6E1C44">
        <w:trPr>
          <w:trHeight w:val="3592"/>
        </w:trPr>
        <w:tc>
          <w:tcPr>
            <w:tcW w:w="10402" w:type="dxa"/>
            <w:tcBorders>
              <w:top w:val="nil"/>
              <w:left w:val="nil"/>
              <w:bottom w:val="nil"/>
              <w:right w:val="nil"/>
            </w:tcBorders>
          </w:tcPr>
          <w:p w:rsidR="006E1C44" w:rsidRDefault="006E1C44">
            <w:pPr>
              <w:pStyle w:val="a4"/>
              <w:spacing w:line="360" w:lineRule="auto"/>
              <w:rPr>
                <w:rFonts w:ascii="仿宋" w:eastAsia="仿宋" w:hAnsi="仿宋" w:cs="仿宋"/>
                <w:b/>
                <w:bCs/>
                <w:color w:val="FF0000"/>
                <w:sz w:val="22"/>
                <w:szCs w:val="22"/>
              </w:rPr>
            </w:pPr>
          </w:p>
        </w:tc>
      </w:tr>
      <w:tr w:rsidR="006E1C44">
        <w:trPr>
          <w:trHeight w:val="4945"/>
        </w:trPr>
        <w:tc>
          <w:tcPr>
            <w:tcW w:w="10402" w:type="dxa"/>
            <w:tcBorders>
              <w:top w:val="nil"/>
              <w:left w:val="nil"/>
              <w:bottom w:val="nil"/>
              <w:right w:val="nil"/>
            </w:tcBorders>
          </w:tcPr>
          <w:p w:rsidR="006E1C44" w:rsidRDefault="00B46BCC">
            <w:pPr>
              <w:ind w:rightChars="129" w:right="284"/>
              <w:jc w:val="center"/>
              <w:rPr>
                <w:rFonts w:ascii="宋体" w:eastAsia="宋体" w:hAnsi="宋体" w:cs="宋体"/>
                <w:b/>
                <w:bCs/>
                <w:sz w:val="52"/>
                <w:szCs w:val="52"/>
                <w:lang w:val="en-US"/>
              </w:rPr>
            </w:pPr>
            <w:r>
              <w:rPr>
                <w:rFonts w:ascii="宋体" w:eastAsia="宋体" w:hAnsi="宋体" w:cs="宋体"/>
                <w:b/>
                <w:sz w:val="52"/>
              </w:rPr>
              <w:t>2024</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中国国际贸易促进委员会苏州市委员会</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部门决算公开</w:t>
            </w:r>
          </w:p>
        </w:tc>
      </w:tr>
    </w:tbl>
    <w:p w:rsidR="006E1C44" w:rsidRDefault="006E1C44">
      <w:pPr>
        <w:ind w:rightChars="129" w:right="284"/>
        <w:jc w:val="both"/>
        <w:rPr>
          <w:rFonts w:ascii="宋体" w:eastAsia="宋体" w:hAnsi="宋体" w:cs="宋体"/>
          <w:b/>
          <w:bCs/>
          <w:sz w:val="52"/>
          <w:szCs w:val="52"/>
        </w:rPr>
        <w:sectPr w:rsidR="006E1C44">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6E1C44" w:rsidRDefault="006E1C44">
      <w:pPr>
        <w:pStyle w:val="a4"/>
        <w:spacing w:before="4"/>
        <w:rPr>
          <w:rFonts w:ascii="华文仿宋" w:eastAsia="华文仿宋" w:hAnsi="华文仿宋" w:cs="仿宋"/>
          <w:sz w:val="10"/>
        </w:rPr>
      </w:pPr>
    </w:p>
    <w:p w:rsidR="006E1C44" w:rsidRDefault="00B46BCC">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6E1C44" w:rsidRDefault="006E1C44">
      <w:pPr>
        <w:pStyle w:val="a4"/>
        <w:spacing w:before="7"/>
        <w:rPr>
          <w:rFonts w:ascii="仿宋" w:eastAsia="仿宋" w:hAnsi="仿宋" w:cs="仿宋"/>
          <w:sz w:val="27"/>
        </w:rPr>
      </w:pPr>
    </w:p>
    <w:p w:rsidR="006E1C44" w:rsidRDefault="00B46BCC">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部门</w:t>
      </w:r>
      <w:r>
        <w:rPr>
          <w:rFonts w:ascii="黑体" w:eastAsia="黑体" w:hAnsi="黑体" w:cs="黑体" w:hint="eastAsia"/>
        </w:rPr>
        <w:t>概况</w:t>
      </w:r>
    </w:p>
    <w:p w:rsidR="006E1C44" w:rsidRDefault="00B46BCC">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6E1C44" w:rsidRDefault="00B46BCC">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6E1C44" w:rsidRDefault="00B46BCC">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2024</w:t>
      </w:r>
      <w:r>
        <w:rPr>
          <w:rFonts w:ascii="仿宋" w:eastAsia="仿宋" w:hAnsi="仿宋" w:cs="仿宋" w:hint="eastAsia"/>
        </w:rPr>
        <w:t>年度主要工作完成情况</w:t>
      </w:r>
    </w:p>
    <w:p w:rsidR="006E1C44" w:rsidRDefault="00B46BCC">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2024</w:t>
      </w:r>
      <w:r>
        <w:rPr>
          <w:rFonts w:ascii="黑体" w:eastAsia="黑体" w:hAnsi="黑体" w:cs="黑体" w:hint="eastAsia"/>
          <w:lang w:val="en-US"/>
        </w:rPr>
        <w:t>年度</w:t>
      </w:r>
      <w:r>
        <w:rPr>
          <w:rFonts w:ascii="黑体" w:eastAsia="黑体" w:hAnsi="黑体" w:cs="黑体"/>
        </w:rPr>
        <w:t>部门决算表</w:t>
      </w:r>
    </w:p>
    <w:p w:rsidR="006E1C44" w:rsidRDefault="00B46BCC">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6E1C44" w:rsidRDefault="00B46BCC">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6E1C44" w:rsidRDefault="00B46BCC">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6E1C44" w:rsidRDefault="00B46BCC">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6E1C44" w:rsidRDefault="00B46BCC">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6E1C44" w:rsidRDefault="00B46BCC">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6E1C44" w:rsidRDefault="00B46BCC">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6E1C44" w:rsidRDefault="00B46BCC">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6E1C44" w:rsidRDefault="00B46BCC">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2024</w:t>
      </w:r>
      <w:r>
        <w:rPr>
          <w:rFonts w:ascii="黑体" w:eastAsia="黑体" w:hAnsi="黑体" w:cs="黑体" w:hint="eastAsia"/>
          <w:lang w:val="en-US"/>
        </w:rPr>
        <w:t>年度</w:t>
      </w:r>
      <w:r>
        <w:rPr>
          <w:rFonts w:ascii="黑体" w:eastAsia="黑体" w:hAnsi="黑体" w:cs="黑体"/>
        </w:rPr>
        <w:t>部门决算情况说明</w:t>
      </w:r>
    </w:p>
    <w:p w:rsidR="006E1C44" w:rsidRDefault="00B46BCC">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6E1C44" w:rsidRDefault="006E1C44">
      <w:pPr>
        <w:pStyle w:val="a4"/>
        <w:spacing w:line="235" w:lineRule="auto"/>
        <w:ind w:leftChars="300" w:left="669" w:right="2414" w:hanging="9"/>
        <w:jc w:val="both"/>
        <w:rPr>
          <w:rFonts w:ascii="仿宋" w:eastAsia="仿宋" w:hAnsi="仿宋" w:cs="仿宋"/>
        </w:rPr>
        <w:sectPr w:rsidR="006E1C44">
          <w:footerReference w:type="default" r:id="rId13"/>
          <w:pgSz w:w="11906" w:h="16838"/>
          <w:pgMar w:top="1580" w:right="700" w:bottom="770" w:left="1020" w:header="283" w:footer="280" w:gutter="0"/>
          <w:pgNumType w:fmt="numberInDash" w:start="1"/>
          <w:cols w:space="720"/>
          <w:formProt w:val="0"/>
          <w:docGrid w:linePitch="100"/>
        </w:sectPr>
      </w:pPr>
    </w:p>
    <w:p w:rsidR="006E1C44" w:rsidRDefault="006E1C44">
      <w:pPr>
        <w:pStyle w:val="a4"/>
        <w:spacing w:before="1"/>
        <w:rPr>
          <w:rFonts w:ascii="华文仿宋" w:eastAsia="华文仿宋" w:hAnsi="华文仿宋" w:cs="仿宋"/>
          <w:sz w:val="14"/>
        </w:rPr>
      </w:pPr>
    </w:p>
    <w:p w:rsidR="006E1C44" w:rsidRDefault="00B46BCC">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部门概况</w:t>
      </w:r>
    </w:p>
    <w:p w:rsidR="006E1C44" w:rsidRDefault="006E1C44">
      <w:pPr>
        <w:ind w:rightChars="229" w:right="504"/>
        <w:jc w:val="both"/>
      </w:pPr>
    </w:p>
    <w:p w:rsidR="006E1C44" w:rsidRDefault="00B46BCC">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邀请和接待国外经贸界人士和代表团来访；组织苏州市经济贸易代表团出国访问与考察，与有关国际组织、区域性组织及各国贸促机构和商协会开展交流与合作；参加有关国际组织及其活动；组织、参加或与国外相应机构联合召开有关经济贸易技术合作和法律方面的国际会议；负责与国外对口组织在苏州市设立的代表机构以及外国在苏州市成立的商会进行联络。</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（二）促进苏州市与香港、澳门特别行政区，台湾地区的经贸交流，为苏州市同香港、澳门特别行政区和台湾地区工商界之间的交流与合作提供服务。</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根据苏州市人民政府授权，代表苏州市参加国际展览局的活动，负责苏州市参加国际展览局和世界博览会相关事宜的组织、协调、监督和管理工作；在国外主办或协办贸易展览会，参加国际贸易博览会和展览会；在境内主办或协办经济贸易展览会和博览会。</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（四）收集、整理、传递和发布经贸信息；承办中外经济技术合作项目的评估和可行性研究工作；联系、组织经贸洽谈和技术交流活动；向国内外有关企业和机构提</w:t>
      </w:r>
      <w:r>
        <w:rPr>
          <w:rFonts w:ascii="仿宋" w:eastAsia="仿宋" w:hAnsi="仿宋" w:cs="仿宋"/>
        </w:rPr>
        <w:t>供经贸信息、咨询和资信调查等各类服务。</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（五）为会员企业和其他企业提供服务；向政府有关部门反映企业界有关情况和意见；研究经贸领域的有关问题，向企业提</w:t>
      </w:r>
      <w:r>
        <w:rPr>
          <w:rFonts w:ascii="仿宋" w:eastAsia="仿宋" w:hAnsi="仿宋" w:cs="仿宋"/>
        </w:rPr>
        <w:lastRenderedPageBreak/>
        <w:t>供参考意见。</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（六）办理经济贸易、海事仲裁和调解业务，用仲裁和调解的方式解决各种经济贸易纠纷和海事纠纷；签发</w:t>
      </w:r>
      <w:proofErr w:type="gramStart"/>
      <w:r>
        <w:rPr>
          <w:rFonts w:ascii="仿宋" w:eastAsia="仿宋" w:hAnsi="仿宋" w:cs="仿宋"/>
        </w:rPr>
        <w:t>非优惠</w:t>
      </w:r>
      <w:proofErr w:type="gramEnd"/>
      <w:r>
        <w:rPr>
          <w:rFonts w:ascii="仿宋" w:eastAsia="仿宋" w:hAnsi="仿宋" w:cs="仿宋"/>
        </w:rPr>
        <w:t>原产地证明书，出具人力不可抗拒证，代办涉外商贸文件的领事认证业务，认证涉外商业单据，出具国际商事证明书；进行国际、国内民商事、海事领域及其有关争议解决的法律研究，提供有关法律咨询、法律顾问等服务。</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（七）代理苏州市企业和个人在国内外或外国企业和个人在</w:t>
      </w:r>
      <w:r>
        <w:rPr>
          <w:rFonts w:ascii="仿宋" w:eastAsia="仿宋" w:hAnsi="仿宋" w:cs="仿宋"/>
        </w:rPr>
        <w:t>苏州市的专利申请和商标注册业务，提供知识产权的咨询、争议解决等法律服务；开展技术贸易等工作。</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（八）办理苏州市人民政府授权或交办的其他工作。</w:t>
      </w:r>
    </w:p>
    <w:p w:rsidR="006E1C44" w:rsidRDefault="00B46BCC">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本部门内设机构包括（一）办公室。（二）法律事务部。（三）贸易投资促进部。（四）会务信息部。本部门无下属单位。</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w:t>
      </w:r>
      <w:r>
        <w:rPr>
          <w:rFonts w:ascii="仿宋" w:eastAsia="仿宋" w:hAnsi="仿宋" w:cs="仿宋" w:hint="eastAsia"/>
          <w:lang w:val="en-US"/>
        </w:rPr>
        <w:t>2024</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1</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中国国际贸易促进委员会苏州市委员会。</w:t>
      </w:r>
    </w:p>
    <w:p w:rsidR="006E1C44" w:rsidRDefault="00B46BCC">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2024</w:t>
      </w:r>
      <w:r>
        <w:rPr>
          <w:rFonts w:ascii="黑体" w:eastAsia="黑体" w:hAnsi="黑体" w:cs="黑体" w:hint="eastAsia"/>
        </w:rPr>
        <w:t>年度主要工作完成情况</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2024</w:t>
      </w:r>
      <w:r>
        <w:rPr>
          <w:rFonts w:ascii="仿宋" w:eastAsia="仿宋" w:hAnsi="仿宋" w:cs="仿宋"/>
        </w:rPr>
        <w:t>年，市贸促会紧紧围绕市委市政府工作部署要求，认真履职，积极开拓，务实进取，会展事业稳步发展，涉外商事法律服务质</w:t>
      </w:r>
      <w:proofErr w:type="gramStart"/>
      <w:r>
        <w:rPr>
          <w:rFonts w:ascii="仿宋" w:eastAsia="仿宋" w:hAnsi="仿宋" w:cs="仿宋"/>
        </w:rPr>
        <w:t>效不断</w:t>
      </w:r>
      <w:proofErr w:type="gramEnd"/>
      <w:r>
        <w:rPr>
          <w:rFonts w:ascii="仿宋" w:eastAsia="仿宋" w:hAnsi="仿宋" w:cs="仿宋"/>
        </w:rPr>
        <w:t>提升，对外经贸交流合作和开拓国际市场成效明显，各项工作推进有力，持续提升贸促工作在全市经济社会发展中重</w:t>
      </w:r>
      <w:r>
        <w:rPr>
          <w:rFonts w:ascii="仿宋" w:eastAsia="仿宋" w:hAnsi="仿宋" w:cs="仿宋"/>
        </w:rPr>
        <w:lastRenderedPageBreak/>
        <w:t>要作用。现将</w:t>
      </w:r>
      <w:r>
        <w:rPr>
          <w:rFonts w:ascii="仿宋" w:eastAsia="仿宋" w:hAnsi="仿宋" w:cs="仿宋"/>
        </w:rPr>
        <w:t>2024</w:t>
      </w:r>
      <w:r>
        <w:rPr>
          <w:rFonts w:ascii="仿宋" w:eastAsia="仿宋" w:hAnsi="仿宋" w:cs="仿宋"/>
        </w:rPr>
        <w:t>年工作开展情况及明年工作计划总结如下：</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w:t>
      </w:r>
      <w:r>
        <w:rPr>
          <w:rFonts w:ascii="仿宋" w:eastAsia="仿宋" w:hAnsi="仿宋" w:cs="仿宋"/>
        </w:rPr>
        <w:t>2024</w:t>
      </w:r>
      <w:r>
        <w:rPr>
          <w:rFonts w:ascii="仿宋" w:eastAsia="仿宋" w:hAnsi="仿宋" w:cs="仿宋"/>
        </w:rPr>
        <w:t>年工作开展情况</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（一）充分发挥贸易投资促进工作突出作用。今年以来，市贸促会深入贯彻落实市委、市政府关于加大力度组织更多企业参加更多境外展览的指示精神，主动为企业</w:t>
      </w:r>
      <w:r>
        <w:rPr>
          <w:rFonts w:ascii="仿宋" w:eastAsia="仿宋" w:hAnsi="仿宋" w:cs="仿宋"/>
        </w:rPr>
        <w:t>“</w:t>
      </w:r>
      <w:r>
        <w:rPr>
          <w:rFonts w:ascii="仿宋" w:eastAsia="仿宋" w:hAnsi="仿宋" w:cs="仿宋"/>
        </w:rPr>
        <w:t>走出去</w:t>
      </w:r>
      <w:r>
        <w:rPr>
          <w:rFonts w:ascii="仿宋" w:eastAsia="仿宋" w:hAnsi="仿宋" w:cs="仿宋"/>
        </w:rPr>
        <w:t>”</w:t>
      </w:r>
      <w:r>
        <w:rPr>
          <w:rFonts w:ascii="仿宋" w:eastAsia="仿宋" w:hAnsi="仿宋" w:cs="仿宋"/>
        </w:rPr>
        <w:t>牵线搭桥，广泛组织苏州企业参加更多境内外展会</w:t>
      </w:r>
      <w:r>
        <w:rPr>
          <w:rFonts w:ascii="仿宋" w:eastAsia="仿宋" w:hAnsi="仿宋" w:cs="仿宋"/>
        </w:rPr>
        <w:t>，加强服务指导，推动我市会展业高质量发展。</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一是制定实施境外重点展会计划。会同市商务局制定并实施好《苏州市</w:t>
      </w:r>
      <w:r>
        <w:rPr>
          <w:rFonts w:ascii="仿宋" w:eastAsia="仿宋" w:hAnsi="仿宋" w:cs="仿宋"/>
        </w:rPr>
        <w:t>2024</w:t>
      </w:r>
      <w:r>
        <w:rPr>
          <w:rFonts w:ascii="仿宋" w:eastAsia="仿宋" w:hAnsi="仿宋" w:cs="仿宋"/>
        </w:rPr>
        <w:t>年贸易促进计划》《</w:t>
      </w:r>
      <w:r>
        <w:rPr>
          <w:rFonts w:ascii="仿宋" w:eastAsia="仿宋" w:hAnsi="仿宋" w:cs="仿宋"/>
        </w:rPr>
        <w:t>2024</w:t>
      </w:r>
      <w:r>
        <w:rPr>
          <w:rFonts w:ascii="仿宋" w:eastAsia="仿宋" w:hAnsi="仿宋" w:cs="仿宋"/>
        </w:rPr>
        <w:t>苏州名品世界巡展》计划，突出重点行业和优势领域，持续深耕传统市场，确定境外重点展会</w:t>
      </w:r>
      <w:r>
        <w:rPr>
          <w:rFonts w:ascii="仿宋" w:eastAsia="仿宋" w:hAnsi="仿宋" w:cs="仿宋"/>
        </w:rPr>
        <w:t>203</w:t>
      </w:r>
      <w:r>
        <w:rPr>
          <w:rFonts w:ascii="仿宋" w:eastAsia="仿宋" w:hAnsi="仿宋" w:cs="仿宋"/>
        </w:rPr>
        <w:t>个。与此同时，市贸促会聚焦纺织服装面料、工业机械、生物医药类等我市优势产业，甄选出国际重点展会，主要分布在欧洲、南美及中亚等国家和地区，其中俄罗斯叶卡捷琳堡国际工业展、越南国际纺织机服装面料展、沙特国际纺织服装工业展三个展会经争取被纳入</w:t>
      </w:r>
      <w:r>
        <w:rPr>
          <w:rFonts w:ascii="仿宋" w:eastAsia="仿宋" w:hAnsi="仿宋" w:cs="仿宋"/>
        </w:rPr>
        <w:t>“2024</w:t>
      </w:r>
      <w:r>
        <w:rPr>
          <w:rFonts w:ascii="仿宋" w:eastAsia="仿宋" w:hAnsi="仿宋" w:cs="仿宋"/>
        </w:rPr>
        <w:t>江苏品牌产品丝路行</w:t>
      </w:r>
      <w:r>
        <w:rPr>
          <w:rFonts w:ascii="仿宋" w:eastAsia="仿宋" w:hAnsi="仿宋" w:cs="仿宋"/>
        </w:rPr>
        <w:t>”</w:t>
      </w:r>
      <w:r>
        <w:rPr>
          <w:rFonts w:ascii="仿宋" w:eastAsia="仿宋" w:hAnsi="仿宋" w:cs="仿宋"/>
        </w:rPr>
        <w:t>重点支持境外展会；</w:t>
      </w:r>
      <w:r>
        <w:rPr>
          <w:rFonts w:ascii="仿宋" w:eastAsia="仿宋" w:hAnsi="仿宋" w:cs="仿宋"/>
        </w:rPr>
        <w:t>通过苏州发布、看苏州等媒体和</w:t>
      </w:r>
      <w:r>
        <w:rPr>
          <w:rFonts w:ascii="仿宋" w:eastAsia="仿宋" w:hAnsi="仿宋" w:cs="仿宋"/>
        </w:rPr>
        <w:t>“</w:t>
      </w:r>
      <w:r>
        <w:rPr>
          <w:rFonts w:ascii="仿宋" w:eastAsia="仿宋" w:hAnsi="仿宋" w:cs="仿宋"/>
        </w:rPr>
        <w:t>贸促服务助企行</w:t>
      </w:r>
      <w:r>
        <w:rPr>
          <w:rFonts w:ascii="仿宋" w:eastAsia="仿宋" w:hAnsi="仿宋" w:cs="仿宋"/>
        </w:rPr>
        <w:t>”</w:t>
      </w:r>
      <w:r>
        <w:rPr>
          <w:rFonts w:ascii="仿宋" w:eastAsia="仿宋" w:hAnsi="仿宋" w:cs="仿宋"/>
        </w:rPr>
        <w:t>等活动，依据产业分类和时间顺序，定期发布全球重点经贸展会信息；利用</w:t>
      </w:r>
      <w:r>
        <w:rPr>
          <w:rFonts w:ascii="仿宋" w:eastAsia="仿宋" w:hAnsi="仿宋" w:cs="仿宋"/>
        </w:rPr>
        <w:t>“</w:t>
      </w:r>
      <w:r>
        <w:rPr>
          <w:rFonts w:ascii="仿宋" w:eastAsia="仿宋" w:hAnsi="仿宋" w:cs="仿宋"/>
        </w:rPr>
        <w:t>链接全球资源把握出海商机</w:t>
      </w:r>
      <w:r>
        <w:rPr>
          <w:rFonts w:ascii="仿宋" w:eastAsia="仿宋" w:hAnsi="仿宋" w:cs="仿宋"/>
        </w:rPr>
        <w:t>”</w:t>
      </w:r>
      <w:r>
        <w:rPr>
          <w:rFonts w:ascii="仿宋" w:eastAsia="仿宋" w:hAnsi="仿宋" w:cs="仿宋"/>
        </w:rPr>
        <w:t>等专题活动宣讲我市</w:t>
      </w:r>
      <w:r>
        <w:rPr>
          <w:rFonts w:ascii="仿宋" w:eastAsia="仿宋" w:hAnsi="仿宋" w:cs="仿宋"/>
        </w:rPr>
        <w:t>2024</w:t>
      </w:r>
      <w:r>
        <w:rPr>
          <w:rFonts w:ascii="仿宋" w:eastAsia="仿宋" w:hAnsi="仿宋" w:cs="仿宋"/>
        </w:rPr>
        <w:t>年境外展会计划及支持政策。</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二是积极组织企业参加境内展会。组织</w:t>
      </w:r>
      <w:r>
        <w:rPr>
          <w:rFonts w:ascii="仿宋" w:eastAsia="仿宋" w:hAnsi="仿宋" w:cs="仿宋"/>
        </w:rPr>
        <w:t>8</w:t>
      </w:r>
      <w:r>
        <w:rPr>
          <w:rFonts w:ascii="仿宋" w:eastAsia="仿宋" w:hAnsi="仿宋" w:cs="仿宋"/>
        </w:rPr>
        <w:t>家企业参加亚洲国际模具展、广州国际智能制造技术与装备展览会及</w:t>
      </w:r>
      <w:r>
        <w:rPr>
          <w:rFonts w:ascii="仿宋" w:eastAsia="仿宋" w:hAnsi="仿宋" w:cs="仿宋"/>
        </w:rPr>
        <w:t>“</w:t>
      </w:r>
      <w:r>
        <w:rPr>
          <w:rFonts w:ascii="仿宋" w:eastAsia="仿宋" w:hAnsi="仿宋" w:cs="仿宋"/>
        </w:rPr>
        <w:t>数字化底座与零碳工厂建设主题沙龙</w:t>
      </w:r>
      <w:r>
        <w:rPr>
          <w:rFonts w:ascii="仿宋" w:eastAsia="仿宋" w:hAnsi="仿宋" w:cs="仿宋"/>
        </w:rPr>
        <w:t>”</w:t>
      </w:r>
      <w:r>
        <w:rPr>
          <w:rFonts w:ascii="仿宋" w:eastAsia="仿宋" w:hAnsi="仿宋" w:cs="仿宋"/>
        </w:rPr>
        <w:t>，帮助我市模具企业开拓海外市场业务；组织</w:t>
      </w:r>
      <w:r>
        <w:rPr>
          <w:rFonts w:ascii="仿宋" w:eastAsia="仿宋" w:hAnsi="仿宋" w:cs="仿宋"/>
        </w:rPr>
        <w:t>31</w:t>
      </w:r>
      <w:r>
        <w:rPr>
          <w:rFonts w:ascii="仿宋" w:eastAsia="仿宋" w:hAnsi="仿宋" w:cs="仿宋"/>
        </w:rPr>
        <w:t>家苏州企业参加</w:t>
      </w:r>
      <w:r>
        <w:rPr>
          <w:rFonts w:ascii="仿宋" w:eastAsia="仿宋" w:hAnsi="仿宋" w:cs="仿宋"/>
        </w:rPr>
        <w:t>2024</w:t>
      </w:r>
      <w:r>
        <w:rPr>
          <w:rFonts w:ascii="仿宋" w:eastAsia="仿宋" w:hAnsi="仿宋" w:cs="仿宋"/>
        </w:rPr>
        <w:t>广州国际物流展，参展面积达</w:t>
      </w:r>
      <w:r>
        <w:rPr>
          <w:rFonts w:ascii="仿宋" w:eastAsia="仿宋" w:hAnsi="仿宋" w:cs="仿宋"/>
        </w:rPr>
        <w:lastRenderedPageBreak/>
        <w:t>1000</w:t>
      </w:r>
      <w:r>
        <w:rPr>
          <w:rFonts w:ascii="仿宋" w:eastAsia="仿宋" w:hAnsi="仿宋" w:cs="仿宋"/>
        </w:rPr>
        <w:t>多平方米。推荐企业参加</w:t>
      </w:r>
      <w:r>
        <w:rPr>
          <w:rFonts w:ascii="仿宋" w:eastAsia="仿宋" w:hAnsi="仿宋" w:cs="仿宋"/>
        </w:rPr>
        <w:t>“2024</w:t>
      </w:r>
      <w:r>
        <w:rPr>
          <w:rFonts w:ascii="仿宋" w:eastAsia="仿宋" w:hAnsi="仿宋" w:cs="仿宋"/>
        </w:rPr>
        <w:t>年上海国际新能源汽车及智能网联大会</w:t>
      </w:r>
      <w:r>
        <w:rPr>
          <w:rFonts w:ascii="仿宋" w:eastAsia="仿宋" w:hAnsi="仿宋" w:cs="仿宋"/>
        </w:rPr>
        <w:t>”</w:t>
      </w:r>
      <w:r>
        <w:rPr>
          <w:rFonts w:ascii="仿宋" w:eastAsia="仿宋" w:hAnsi="仿宋" w:cs="仿宋"/>
        </w:rPr>
        <w:t>，充分感受新能源、</w:t>
      </w:r>
      <w:r>
        <w:rPr>
          <w:rFonts w:ascii="仿宋" w:eastAsia="仿宋" w:hAnsi="仿宋" w:cs="仿宋"/>
        </w:rPr>
        <w:t>智能网联等行业的发展趋势。全力组织第二届中国国际供应</w:t>
      </w:r>
      <w:proofErr w:type="gramStart"/>
      <w:r>
        <w:rPr>
          <w:rFonts w:ascii="仿宋" w:eastAsia="仿宋" w:hAnsi="仿宋" w:cs="仿宋"/>
        </w:rPr>
        <w:t>链促进</w:t>
      </w:r>
      <w:proofErr w:type="gramEnd"/>
      <w:r>
        <w:rPr>
          <w:rFonts w:ascii="仿宋" w:eastAsia="仿宋" w:hAnsi="仿宋" w:cs="仿宋"/>
        </w:rPr>
        <w:t>博览会招展参展工作，中德（太仓）产业合作示范区、耐克体育（中国）有限公司、朗新一诺和</w:t>
      </w:r>
      <w:proofErr w:type="gramStart"/>
      <w:r>
        <w:rPr>
          <w:rFonts w:ascii="仿宋" w:eastAsia="仿宋" w:hAnsi="仿宋" w:cs="仿宋"/>
        </w:rPr>
        <w:t>芸芸物联科技</w:t>
      </w:r>
      <w:proofErr w:type="gramEnd"/>
      <w:r>
        <w:rPr>
          <w:rFonts w:ascii="仿宋" w:eastAsia="仿宋" w:hAnsi="仿宋" w:cs="仿宋"/>
        </w:rPr>
        <w:t>等</w:t>
      </w:r>
      <w:r>
        <w:rPr>
          <w:rFonts w:ascii="仿宋" w:eastAsia="仿宋" w:hAnsi="仿宋" w:cs="仿宋"/>
        </w:rPr>
        <w:t>14</w:t>
      </w:r>
      <w:r>
        <w:rPr>
          <w:rFonts w:ascii="仿宋" w:eastAsia="仿宋" w:hAnsi="仿宋" w:cs="仿宋"/>
        </w:rPr>
        <w:t>家企业参加，参展面积达</w:t>
      </w:r>
      <w:r>
        <w:rPr>
          <w:rFonts w:ascii="仿宋" w:eastAsia="仿宋" w:hAnsi="仿宋" w:cs="仿宋"/>
        </w:rPr>
        <w:t>607</w:t>
      </w:r>
      <w:r>
        <w:rPr>
          <w:rFonts w:ascii="仿宋" w:eastAsia="仿宋" w:hAnsi="仿宋" w:cs="仿宋"/>
        </w:rPr>
        <w:t>平方米，有力促进企业产业链、供应链的交流与合作。</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三是全力开展外展助企活动。积极对接国际展览公司，以抱团出展、</w:t>
      </w:r>
      <w:r>
        <w:rPr>
          <w:rFonts w:ascii="仿宋" w:eastAsia="仿宋" w:hAnsi="仿宋" w:cs="仿宋"/>
        </w:rPr>
        <w:t>“</w:t>
      </w:r>
      <w:r>
        <w:rPr>
          <w:rFonts w:ascii="仿宋" w:eastAsia="仿宋" w:hAnsi="仿宋" w:cs="仿宋"/>
        </w:rPr>
        <w:t>展中展</w:t>
      </w:r>
      <w:r>
        <w:rPr>
          <w:rFonts w:ascii="仿宋" w:eastAsia="仿宋" w:hAnsi="仿宋" w:cs="仿宋"/>
        </w:rPr>
        <w:t>”</w:t>
      </w:r>
      <w:r>
        <w:rPr>
          <w:rFonts w:ascii="仿宋" w:eastAsia="仿宋" w:hAnsi="仿宋" w:cs="仿宋"/>
        </w:rPr>
        <w:t>的形式鼓励企业参加</w:t>
      </w:r>
      <w:r>
        <w:rPr>
          <w:rFonts w:ascii="仿宋" w:eastAsia="仿宋" w:hAnsi="仿宋" w:cs="仿宋"/>
        </w:rPr>
        <w:t>“</w:t>
      </w:r>
      <w:r>
        <w:rPr>
          <w:rFonts w:ascii="仿宋" w:eastAsia="仿宋" w:hAnsi="仿宋" w:cs="仿宋"/>
        </w:rPr>
        <w:t>苏州名品世界巡展</w:t>
      </w:r>
      <w:r>
        <w:rPr>
          <w:rFonts w:ascii="仿宋" w:eastAsia="仿宋" w:hAnsi="仿宋" w:cs="仿宋"/>
        </w:rPr>
        <w:t>”</w:t>
      </w:r>
      <w:r>
        <w:rPr>
          <w:rFonts w:ascii="仿宋" w:eastAsia="仿宋" w:hAnsi="仿宋" w:cs="仿宋"/>
        </w:rPr>
        <w:t>。今年</w:t>
      </w:r>
      <w:r>
        <w:rPr>
          <w:rFonts w:ascii="仿宋" w:eastAsia="仿宋" w:hAnsi="仿宋" w:cs="仿宋"/>
        </w:rPr>
        <w:t>2</w:t>
      </w:r>
      <w:r>
        <w:rPr>
          <w:rFonts w:ascii="仿宋" w:eastAsia="仿宋" w:hAnsi="仿宋" w:cs="仿宋"/>
        </w:rPr>
        <w:t>月，组织恒润、国泰、丝科、石也等</w:t>
      </w:r>
      <w:r>
        <w:rPr>
          <w:rFonts w:ascii="仿宋" w:eastAsia="仿宋" w:hAnsi="仿宋" w:cs="仿宋"/>
        </w:rPr>
        <w:t>85</w:t>
      </w:r>
      <w:r>
        <w:rPr>
          <w:rFonts w:ascii="仿宋" w:eastAsia="仿宋" w:hAnsi="仿宋" w:cs="仿宋"/>
        </w:rPr>
        <w:t>家纺织服装面料企业，成功参加</w:t>
      </w:r>
      <w:r>
        <w:rPr>
          <w:rFonts w:ascii="仿宋" w:eastAsia="仿宋" w:hAnsi="仿宋" w:cs="仿宋"/>
        </w:rPr>
        <w:t>2024</w:t>
      </w:r>
      <w:r>
        <w:rPr>
          <w:rFonts w:ascii="仿宋" w:eastAsia="仿宋" w:hAnsi="仿宋" w:cs="仿宋"/>
        </w:rPr>
        <w:t>年巴黎国际面料及服装服饰采购展，推动形成百团千企出海之势。在法国巴黎期间，苏州经贸交流团与法兰克福（法国）展览有限公司开展了交流座谈并达成合作意向；联合苏州光电缆产业商会组织</w:t>
      </w:r>
      <w:r>
        <w:rPr>
          <w:rFonts w:ascii="仿宋" w:eastAsia="仿宋" w:hAnsi="仿宋" w:cs="仿宋"/>
        </w:rPr>
        <w:t>21</w:t>
      </w:r>
      <w:r>
        <w:rPr>
          <w:rFonts w:ascii="仿宋" w:eastAsia="仿宋" w:hAnsi="仿宋" w:cs="仿宋"/>
        </w:rPr>
        <w:t>家苏州企业参加新加坡的亚洲光电博览会，并开展座谈交流、实地考察等经贸活动，为企业制定战略决策和海外发展提供重要参考；组织</w:t>
      </w:r>
      <w:r>
        <w:rPr>
          <w:rFonts w:ascii="仿宋" w:eastAsia="仿宋" w:hAnsi="仿宋" w:cs="仿宋"/>
        </w:rPr>
        <w:t>42</w:t>
      </w:r>
      <w:r>
        <w:rPr>
          <w:rFonts w:ascii="仿宋" w:eastAsia="仿宋" w:hAnsi="仿宋" w:cs="仿宋"/>
        </w:rPr>
        <w:t>家企业参加俄罗斯叶卡捷</w:t>
      </w:r>
      <w:r>
        <w:rPr>
          <w:rFonts w:ascii="仿宋" w:eastAsia="仿宋" w:hAnsi="仿宋" w:cs="仿宋"/>
        </w:rPr>
        <w:t>琳堡国际工业展、越南国际纺织机服装面料展、沙特国际纺织服装工业展等三个</w:t>
      </w:r>
      <w:r>
        <w:rPr>
          <w:rFonts w:ascii="仿宋" w:eastAsia="仿宋" w:hAnsi="仿宋" w:cs="仿宋"/>
        </w:rPr>
        <w:t>“2024</w:t>
      </w:r>
      <w:r>
        <w:rPr>
          <w:rFonts w:ascii="仿宋" w:eastAsia="仿宋" w:hAnsi="仿宋" w:cs="仿宋"/>
        </w:rPr>
        <w:t>江苏品牌产品组织丝路行</w:t>
      </w:r>
      <w:r>
        <w:rPr>
          <w:rFonts w:ascii="仿宋" w:eastAsia="仿宋" w:hAnsi="仿宋" w:cs="仿宋"/>
        </w:rPr>
        <w:t>”</w:t>
      </w:r>
      <w:r>
        <w:rPr>
          <w:rFonts w:ascii="仿宋" w:eastAsia="仿宋" w:hAnsi="仿宋" w:cs="仿宋"/>
        </w:rPr>
        <w:t>项目；组织星恒、山山和奔集等企业参加首届印尼国际两轮车、零配件及用品展览会，推动我</w:t>
      </w:r>
      <w:proofErr w:type="gramStart"/>
      <w:r>
        <w:rPr>
          <w:rFonts w:ascii="仿宋" w:eastAsia="仿宋" w:hAnsi="仿宋" w:cs="仿宋"/>
        </w:rPr>
        <w:t>市两轮车类</w:t>
      </w:r>
      <w:proofErr w:type="gramEnd"/>
      <w:r>
        <w:rPr>
          <w:rFonts w:ascii="仿宋" w:eastAsia="仿宋" w:hAnsi="仿宋" w:cs="仿宋"/>
        </w:rPr>
        <w:t>企业充分利用政策红利，深度开发东南亚市场。</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（二）持续强化对外联络工作格局。开放是苏州最鲜明的底色，也是苏州最大发展优势，为市贸促会与境外商协会、境外园区及相关机构建立多双边合作机制、开展国际联络工作提供了有</w:t>
      </w:r>
      <w:r>
        <w:rPr>
          <w:rFonts w:ascii="仿宋" w:eastAsia="仿宋" w:hAnsi="仿宋" w:cs="仿宋"/>
        </w:rPr>
        <w:lastRenderedPageBreak/>
        <w:t>利的条件。</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一方面，积极促进与重点国别地区的经贸往来与投资合作。举办中欧</w:t>
      </w:r>
      <w:r>
        <w:rPr>
          <w:rFonts w:ascii="仿宋" w:eastAsia="仿宋" w:hAnsi="仿宋" w:cs="仿宋"/>
        </w:rPr>
        <w:t>—</w:t>
      </w:r>
      <w:r>
        <w:rPr>
          <w:rFonts w:ascii="仿宋" w:eastAsia="仿宋" w:hAnsi="仿宋" w:cs="仿宋"/>
        </w:rPr>
        <w:t>苏州纺织行业交流会、中意、中墨经贸</w:t>
      </w:r>
      <w:r>
        <w:rPr>
          <w:rFonts w:ascii="仿宋" w:eastAsia="仿宋" w:hAnsi="仿宋" w:cs="仿宋"/>
        </w:rPr>
        <w:t>合作交流会等活动，探讨目标国家发展趋势和市场机遇，为企业精准把握国际贸易趋势、拓展合作提供契机；组织企业参加江苏企业开拓非洲业务座谈会，深入了解对非经贸面临的新任务新挑战新机遇；接待泰国驻沪领事来访，召开中泰（苏州）经贸合作交流会，就加强苏州与泰国投资促进委员会的合作、切实帮助</w:t>
      </w:r>
      <w:r>
        <w:rPr>
          <w:rFonts w:ascii="仿宋" w:eastAsia="仿宋" w:hAnsi="仿宋" w:cs="仿宋"/>
        </w:rPr>
        <w:t>“</w:t>
      </w:r>
      <w:r>
        <w:rPr>
          <w:rFonts w:ascii="仿宋" w:eastAsia="仿宋" w:hAnsi="仿宋" w:cs="仿宋"/>
        </w:rPr>
        <w:t>走出去</w:t>
      </w:r>
      <w:r>
        <w:rPr>
          <w:rFonts w:ascii="仿宋" w:eastAsia="仿宋" w:hAnsi="仿宋" w:cs="仿宋"/>
        </w:rPr>
        <w:t>”</w:t>
      </w:r>
      <w:r>
        <w:rPr>
          <w:rFonts w:ascii="仿宋" w:eastAsia="仿宋" w:hAnsi="仿宋" w:cs="仿宋"/>
        </w:rPr>
        <w:t>企业走得好、走得</w:t>
      </w:r>
      <w:proofErr w:type="gramStart"/>
      <w:r>
        <w:rPr>
          <w:rFonts w:ascii="仿宋" w:eastAsia="仿宋" w:hAnsi="仿宋" w:cs="仿宋"/>
        </w:rPr>
        <w:t>稳进行</w:t>
      </w:r>
      <w:proofErr w:type="gramEnd"/>
      <w:r>
        <w:rPr>
          <w:rFonts w:ascii="仿宋" w:eastAsia="仿宋" w:hAnsi="仿宋" w:cs="仿宋"/>
        </w:rPr>
        <w:t>深入探讨；接待香港贸发局来访，商讨两地经贸交流合作事宜；组织企业参加</w:t>
      </w:r>
      <w:r>
        <w:rPr>
          <w:rFonts w:ascii="仿宋" w:eastAsia="仿宋" w:hAnsi="仿宋" w:cs="仿宋"/>
        </w:rPr>
        <w:t>“</w:t>
      </w:r>
      <w:r>
        <w:rPr>
          <w:rFonts w:ascii="仿宋" w:eastAsia="仿宋" w:hAnsi="仿宋" w:cs="仿宋"/>
        </w:rPr>
        <w:t>侨力助企</w:t>
      </w:r>
      <w:r>
        <w:rPr>
          <w:rFonts w:ascii="仿宋" w:eastAsia="仿宋" w:hAnsi="仿宋" w:cs="仿宋"/>
        </w:rPr>
        <w:t>”</w:t>
      </w:r>
      <w:proofErr w:type="gramStart"/>
      <w:r>
        <w:rPr>
          <w:rFonts w:ascii="仿宋" w:eastAsia="仿宋" w:hAnsi="仿宋" w:cs="仿宋"/>
        </w:rPr>
        <w:t>苏州侨企商务</w:t>
      </w:r>
      <w:proofErr w:type="gramEnd"/>
      <w:r>
        <w:rPr>
          <w:rFonts w:ascii="仿宋" w:eastAsia="仿宋" w:hAnsi="仿宋" w:cs="仿宋"/>
        </w:rPr>
        <w:t>对接会，为企业畅通产业链上下游合作、面向全球拓展市场搭建有力平台。</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另一方面，积极同国内外知名会展公司展开合作</w:t>
      </w:r>
      <w:r>
        <w:rPr>
          <w:rFonts w:ascii="仿宋" w:eastAsia="仿宋" w:hAnsi="仿宋" w:cs="仿宋"/>
        </w:rPr>
        <w:t>。在去年成功举办境外展会全球签约合作的基础上，今年积极与法兰克福（法国）展览有限公司签署合作协议，推动更多优势资源向苏州企业倾斜，并邀请法兰克福展览公司总裁来苏调研我市纺织服装面料企业，深化双方合作；与中国机械国际合作股份有限公司、苏州文化投资发展集团有限公司共同签署战略合作备忘录，积极引入符合苏州重点产业发展方向的展会项目；与中国烹饪协会沟通中国厨师节、与中国疫苗行业协会沟通中国生物制品大会相关事宜，积极探索在苏举办该产业展会的可能性。</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（三）全力提升涉外商事法律服务工作水平。国际形势越是严峻复杂，企业面</w:t>
      </w:r>
      <w:r>
        <w:rPr>
          <w:rFonts w:ascii="仿宋" w:eastAsia="仿宋" w:hAnsi="仿宋" w:cs="仿宋"/>
        </w:rPr>
        <w:t>临的涉外商事法律服务需求越是迫切。市贸促</w:t>
      </w:r>
      <w:r>
        <w:rPr>
          <w:rFonts w:ascii="仿宋" w:eastAsia="仿宋" w:hAnsi="仿宋" w:cs="仿宋"/>
        </w:rPr>
        <w:lastRenderedPageBreak/>
        <w:t>会紧紧抓住涉外商事法律服务这个贸促工作品牌，着力抓好了以下几方面工作：</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一是提供便捷高效商事认证服务。进一步推广原产地证自主打印等服务举措，申请实现企业线上注册、备案、审核、签发四位一体便捷惠企措施，推动原产地证书</w:t>
      </w:r>
      <w:r>
        <w:rPr>
          <w:rFonts w:ascii="仿宋" w:eastAsia="仿宋" w:hAnsi="仿宋" w:cs="仿宋"/>
        </w:rPr>
        <w:t>“</w:t>
      </w:r>
      <w:r>
        <w:rPr>
          <w:rFonts w:ascii="仿宋" w:eastAsia="仿宋" w:hAnsi="仿宋" w:cs="仿宋"/>
        </w:rPr>
        <w:t>即报、即审、即领</w:t>
      </w:r>
      <w:r>
        <w:rPr>
          <w:rFonts w:ascii="仿宋" w:eastAsia="仿宋" w:hAnsi="仿宋" w:cs="仿宋"/>
        </w:rPr>
        <w:t>”</w:t>
      </w:r>
      <w:r>
        <w:rPr>
          <w:rFonts w:ascii="仿宋" w:eastAsia="仿宋" w:hAnsi="仿宋" w:cs="仿宋"/>
        </w:rPr>
        <w:t>。运用自动化备案信息植入原产地智能审核系统功能，实现了我国对外签订的自由贸易协定项下原产地证书商品备案之原产地规则判定的自动化，提高了外向型企业办理原产地注册备案的效率。</w:t>
      </w:r>
      <w:r>
        <w:rPr>
          <w:rFonts w:ascii="仿宋" w:eastAsia="仿宋" w:hAnsi="仿宋" w:cs="仿宋"/>
        </w:rPr>
        <w:t>1-10</w:t>
      </w:r>
      <w:r>
        <w:rPr>
          <w:rFonts w:ascii="仿宋" w:eastAsia="仿宋" w:hAnsi="仿宋" w:cs="仿宋"/>
        </w:rPr>
        <w:t>月，我市</w:t>
      </w:r>
      <w:r>
        <w:rPr>
          <w:rFonts w:ascii="仿宋" w:eastAsia="仿宋" w:hAnsi="仿宋" w:cs="仿宋"/>
        </w:rPr>
        <w:t>2000</w:t>
      </w:r>
      <w:r>
        <w:rPr>
          <w:rFonts w:ascii="仿宋" w:eastAsia="仿宋" w:hAnsi="仿宋" w:cs="仿宋"/>
        </w:rPr>
        <w:t>余家出口企业共办理出口货物原产地证明书</w:t>
      </w:r>
      <w:r>
        <w:rPr>
          <w:rFonts w:ascii="仿宋" w:eastAsia="仿宋" w:hAnsi="仿宋" w:cs="仿宋"/>
        </w:rPr>
        <w:t>8</w:t>
      </w:r>
      <w:r>
        <w:rPr>
          <w:rFonts w:ascii="仿宋" w:eastAsia="仿宋" w:hAnsi="仿宋" w:cs="仿宋"/>
        </w:rPr>
        <w:t>万余</w:t>
      </w:r>
      <w:r>
        <w:rPr>
          <w:rFonts w:ascii="仿宋" w:eastAsia="仿宋" w:hAnsi="仿宋" w:cs="仿宋"/>
        </w:rPr>
        <w:t>份，涉及出口产品金额约</w:t>
      </w:r>
      <w:r>
        <w:rPr>
          <w:rFonts w:ascii="仿宋" w:eastAsia="仿宋" w:hAnsi="仿宋" w:cs="仿宋"/>
        </w:rPr>
        <w:t>62</w:t>
      </w:r>
      <w:r>
        <w:rPr>
          <w:rFonts w:ascii="仿宋" w:eastAsia="仿宋" w:hAnsi="仿宋" w:cs="仿宋"/>
        </w:rPr>
        <w:t>亿美元；办理</w:t>
      </w:r>
      <w:r>
        <w:rPr>
          <w:rFonts w:ascii="仿宋" w:eastAsia="仿宋" w:hAnsi="仿宋" w:cs="仿宋"/>
        </w:rPr>
        <w:t>ATA</w:t>
      </w:r>
      <w:r>
        <w:rPr>
          <w:rFonts w:ascii="仿宋" w:eastAsia="仿宋" w:hAnsi="仿宋" w:cs="仿宋"/>
        </w:rPr>
        <w:t>单证册、商事证明书及代办领事认证、海牙认证共计</w:t>
      </w:r>
      <w:r>
        <w:rPr>
          <w:rFonts w:ascii="仿宋" w:eastAsia="仿宋" w:hAnsi="仿宋" w:cs="仿宋"/>
        </w:rPr>
        <w:t>5600</w:t>
      </w:r>
      <w:r>
        <w:rPr>
          <w:rFonts w:ascii="仿宋" w:eastAsia="仿宋" w:hAnsi="仿宋" w:cs="仿宋"/>
        </w:rPr>
        <w:t>余份。</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二是广泛开展涉外商事法律助企服务。截至目前，市贸促会今年参与调解企业涉外商事纠纷</w:t>
      </w:r>
      <w:r>
        <w:rPr>
          <w:rFonts w:ascii="仿宋" w:eastAsia="仿宋" w:hAnsi="仿宋" w:cs="仿宋"/>
        </w:rPr>
        <w:t>7</w:t>
      </w:r>
      <w:r>
        <w:rPr>
          <w:rFonts w:ascii="仿宋" w:eastAsia="仿宋" w:hAnsi="仿宋" w:cs="仿宋"/>
        </w:rPr>
        <w:t>起，接收企业各类咨询近</w:t>
      </w:r>
      <w:r>
        <w:rPr>
          <w:rFonts w:ascii="仿宋" w:eastAsia="仿宋" w:hAnsi="仿宋" w:cs="仿宋"/>
        </w:rPr>
        <w:t>500</w:t>
      </w:r>
      <w:r>
        <w:rPr>
          <w:rFonts w:ascii="仿宋" w:eastAsia="仿宋" w:hAnsi="仿宋" w:cs="仿宋"/>
        </w:rPr>
        <w:t>次，其中包括跨境投资、知识产权侵权、海外尽调、贸易合同纠纷等多个领域。</w:t>
      </w:r>
      <w:r>
        <w:rPr>
          <w:rFonts w:ascii="仿宋" w:eastAsia="仿宋" w:hAnsi="仿宋" w:cs="仿宋"/>
        </w:rPr>
        <w:t>3</w:t>
      </w:r>
      <w:r>
        <w:rPr>
          <w:rFonts w:ascii="仿宋" w:eastAsia="仿宋" w:hAnsi="仿宋" w:cs="仿宋"/>
        </w:rPr>
        <w:t>月，组织企业参加推动高水平涉外法治建设助力打造一流营商环境新闻发布会，指导的康湃医疗应对美国</w:t>
      </w:r>
      <w:r>
        <w:rPr>
          <w:rFonts w:ascii="仿宋" w:eastAsia="仿宋" w:hAnsi="仿宋" w:cs="仿宋"/>
        </w:rPr>
        <w:t>“337”</w:t>
      </w:r>
      <w:r>
        <w:rPr>
          <w:rFonts w:ascii="仿宋" w:eastAsia="仿宋" w:hAnsi="仿宋" w:cs="仿宋"/>
        </w:rPr>
        <w:t>调查案，入选苏州市涉外法治建设十大典型案例。此外，积极联动各相关部门，合力服务企业。会同有关部门和专业机构，加急审核永鼎公</w:t>
      </w:r>
      <w:r>
        <w:rPr>
          <w:rFonts w:ascii="仿宋" w:eastAsia="仿宋" w:hAnsi="仿宋" w:cs="仿宋"/>
        </w:rPr>
        <w:t>司企业相关认证文件并送交埃塞驻华领馆，为企业开展国际招投标业务提供支持和帮助；与检察机关合作，开展涉案企业合</w:t>
      </w:r>
      <w:proofErr w:type="gramStart"/>
      <w:r>
        <w:rPr>
          <w:rFonts w:ascii="仿宋" w:eastAsia="仿宋" w:hAnsi="仿宋" w:cs="仿宋"/>
        </w:rPr>
        <w:t>规</w:t>
      </w:r>
      <w:proofErr w:type="gramEnd"/>
      <w:r>
        <w:rPr>
          <w:rFonts w:ascii="仿宋" w:eastAsia="仿宋" w:hAnsi="仿宋" w:cs="仿宋"/>
        </w:rPr>
        <w:t>不起诉审查工作，对苏州科络达有限公司开展了为期半年的初查、中期审查、终期验收等合规整改工作；对中南钢结构有限公司关于开拓中东市场、法律</w:t>
      </w:r>
      <w:proofErr w:type="gramStart"/>
      <w:r>
        <w:rPr>
          <w:rFonts w:ascii="仿宋" w:eastAsia="仿宋" w:hAnsi="仿宋" w:cs="仿宋"/>
        </w:rPr>
        <w:t>尽调开展</w:t>
      </w:r>
      <w:proofErr w:type="gramEnd"/>
      <w:r>
        <w:rPr>
          <w:rFonts w:ascii="仿宋" w:eastAsia="仿宋" w:hAnsi="仿宋" w:cs="仿宋"/>
        </w:rPr>
        <w:t>上门指导；对昆山赛</w:t>
      </w:r>
      <w:r>
        <w:rPr>
          <w:rFonts w:ascii="仿宋" w:eastAsia="仿宋" w:hAnsi="仿宋" w:cs="仿宋"/>
        </w:rPr>
        <w:lastRenderedPageBreak/>
        <w:t>博机电有限公司关于越南投资设厂开展上门服务；开展国际商会助企行吴江站活动</w:t>
      </w:r>
      <w:r>
        <w:rPr>
          <w:rFonts w:ascii="仿宋" w:eastAsia="仿宋" w:hAnsi="仿宋" w:cs="仿宋"/>
        </w:rPr>
        <w:t>—“</w:t>
      </w:r>
      <w:r>
        <w:rPr>
          <w:rFonts w:ascii="仿宋" w:eastAsia="仿宋" w:hAnsi="仿宋" w:cs="仿宋"/>
        </w:rPr>
        <w:t>走进中强光电</w:t>
      </w:r>
      <w:r>
        <w:rPr>
          <w:rFonts w:ascii="仿宋" w:eastAsia="仿宋" w:hAnsi="仿宋" w:cs="仿宋"/>
        </w:rPr>
        <w:t>—</w:t>
      </w:r>
      <w:r>
        <w:rPr>
          <w:rFonts w:ascii="仿宋" w:eastAsia="仿宋" w:hAnsi="仿宋" w:cs="仿宋"/>
        </w:rPr>
        <w:t>商法赋能，提质增效</w:t>
      </w:r>
      <w:r>
        <w:rPr>
          <w:rFonts w:ascii="仿宋" w:eastAsia="仿宋" w:hAnsi="仿宋" w:cs="仿宋"/>
        </w:rPr>
        <w:t>”</w:t>
      </w:r>
      <w:r>
        <w:rPr>
          <w:rFonts w:ascii="仿宋" w:eastAsia="仿宋" w:hAnsi="仿宋" w:cs="仿宋"/>
        </w:rPr>
        <w:t>，大力宣传推介涉外商事法律以及商事认证政策法规，普及海外知识产权侵权险，帮助企业巩固和拓展海外市场，防范化解国际贸易风险。有序推动企</w:t>
      </w:r>
      <w:r>
        <w:rPr>
          <w:rFonts w:ascii="仿宋" w:eastAsia="仿宋" w:hAnsi="仿宋" w:cs="仿宋"/>
        </w:rPr>
        <w:t>业合</w:t>
      </w:r>
      <w:proofErr w:type="gramStart"/>
      <w:r>
        <w:rPr>
          <w:rFonts w:ascii="仿宋" w:eastAsia="仿宋" w:hAnsi="仿宋" w:cs="仿宋"/>
        </w:rPr>
        <w:t>规师培训</w:t>
      </w:r>
      <w:proofErr w:type="gramEnd"/>
      <w:r>
        <w:rPr>
          <w:rFonts w:ascii="仿宋" w:eastAsia="仿宋" w:hAnsi="仿宋" w:cs="仿宋"/>
        </w:rPr>
        <w:t>工作。积极向中国贸促会申请并成功获批企业合</w:t>
      </w:r>
      <w:proofErr w:type="gramStart"/>
      <w:r>
        <w:rPr>
          <w:rFonts w:ascii="仿宋" w:eastAsia="仿宋" w:hAnsi="仿宋" w:cs="仿宋"/>
        </w:rPr>
        <w:t>规师培训</w:t>
      </w:r>
      <w:proofErr w:type="gramEnd"/>
      <w:r>
        <w:rPr>
          <w:rFonts w:ascii="仿宋" w:eastAsia="仿宋" w:hAnsi="仿宋" w:cs="仿宋"/>
        </w:rPr>
        <w:t>基地，有序推进企业合</w:t>
      </w:r>
      <w:proofErr w:type="gramStart"/>
      <w:r>
        <w:rPr>
          <w:rFonts w:ascii="仿宋" w:eastAsia="仿宋" w:hAnsi="仿宋" w:cs="仿宋"/>
        </w:rPr>
        <w:t>规师培训</w:t>
      </w:r>
      <w:proofErr w:type="gramEnd"/>
      <w:r>
        <w:rPr>
          <w:rFonts w:ascii="仿宋" w:eastAsia="仿宋" w:hAnsi="仿宋" w:cs="仿宋"/>
        </w:rPr>
        <w:t>工作。</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三是举办各类专题涉外商事法律交流服务活动。联合举办</w:t>
      </w:r>
      <w:r>
        <w:rPr>
          <w:rFonts w:ascii="仿宋" w:eastAsia="仿宋" w:hAnsi="仿宋" w:cs="仿宋"/>
        </w:rPr>
        <w:t>“</w:t>
      </w:r>
      <w:r>
        <w:rPr>
          <w:rFonts w:ascii="仿宋" w:eastAsia="仿宋" w:hAnsi="仿宋" w:cs="仿宋"/>
        </w:rPr>
        <w:t>外资企业和外籍人士如何高效解决纠纷</w:t>
      </w:r>
      <w:r>
        <w:rPr>
          <w:rFonts w:ascii="仿宋" w:eastAsia="仿宋" w:hAnsi="仿宋" w:cs="仿宋"/>
        </w:rPr>
        <w:t>”</w:t>
      </w:r>
      <w:r>
        <w:rPr>
          <w:rFonts w:ascii="仿宋" w:eastAsia="仿宋" w:hAnsi="仿宋" w:cs="仿宋"/>
        </w:rPr>
        <w:t>活动，通过分享案例和交流经验，深入探讨各种涉外纠纷的解决方式和处理机制，进一步提升市场主体应对纠纷的能力；联合市各有关部门和金融、信保、知识产权、律所等专业机构，举办</w:t>
      </w:r>
      <w:r>
        <w:rPr>
          <w:rFonts w:ascii="仿宋" w:eastAsia="仿宋" w:hAnsi="仿宋" w:cs="仿宋"/>
        </w:rPr>
        <w:t>“</w:t>
      </w:r>
      <w:r>
        <w:rPr>
          <w:rFonts w:ascii="仿宋" w:eastAsia="仿宋" w:hAnsi="仿宋" w:cs="仿宋"/>
        </w:rPr>
        <w:t>科技企业出海如何乘风破浪</w:t>
      </w:r>
      <w:r>
        <w:rPr>
          <w:rFonts w:ascii="仿宋" w:eastAsia="仿宋" w:hAnsi="仿宋" w:cs="仿宋"/>
        </w:rPr>
        <w:t>”</w:t>
      </w:r>
      <w:r>
        <w:rPr>
          <w:rFonts w:ascii="仿宋" w:eastAsia="仿宋" w:hAnsi="仿宋" w:cs="仿宋"/>
        </w:rPr>
        <w:t>活动，为我市科技企业</w:t>
      </w:r>
      <w:r>
        <w:rPr>
          <w:rFonts w:ascii="仿宋" w:eastAsia="仿宋" w:hAnsi="仿宋" w:cs="仿宋"/>
        </w:rPr>
        <w:t>“</w:t>
      </w:r>
      <w:r>
        <w:rPr>
          <w:rFonts w:ascii="仿宋" w:eastAsia="仿宋" w:hAnsi="仿宋" w:cs="仿宋"/>
        </w:rPr>
        <w:t>出海</w:t>
      </w:r>
      <w:r>
        <w:rPr>
          <w:rFonts w:ascii="仿宋" w:eastAsia="仿宋" w:hAnsi="仿宋" w:cs="仿宋"/>
        </w:rPr>
        <w:t>”</w:t>
      </w:r>
      <w:r>
        <w:rPr>
          <w:rFonts w:ascii="仿宋" w:eastAsia="仿宋" w:hAnsi="仿宋" w:cs="仿宋"/>
        </w:rPr>
        <w:t>提供多层次的保障和服务。联合相关部门开展美国展会相关知识产权交流会、海外品牌保护及风险防控的赋能交流会、</w:t>
      </w:r>
      <w:r>
        <w:rPr>
          <w:rFonts w:ascii="仿宋" w:eastAsia="仿宋" w:hAnsi="仿宋" w:cs="仿宋"/>
        </w:rPr>
        <w:t>家电行业海外投资研讨会、知识产权主题交流会印度专场以及俄罗斯及欧亚专场、德国展会知识产权纠纷应对交流会、德国知识产权条例及展会应用案例分享交流会等近</w:t>
      </w:r>
      <w:r>
        <w:rPr>
          <w:rFonts w:ascii="仿宋" w:eastAsia="仿宋" w:hAnsi="仿宋" w:cs="仿宋"/>
        </w:rPr>
        <w:t>20</w:t>
      </w:r>
      <w:r>
        <w:rPr>
          <w:rFonts w:ascii="仿宋" w:eastAsia="仿宋" w:hAnsi="仿宋" w:cs="仿宋"/>
        </w:rPr>
        <w:t>场活动，助力企业更好开拓国际市场。联合园区国企新建元控股举办</w:t>
      </w:r>
      <w:r>
        <w:rPr>
          <w:rFonts w:ascii="仿宋" w:eastAsia="仿宋" w:hAnsi="仿宋" w:cs="仿宋"/>
        </w:rPr>
        <w:t>“</w:t>
      </w:r>
      <w:r>
        <w:rPr>
          <w:rFonts w:ascii="仿宋" w:eastAsia="仿宋" w:hAnsi="仿宋" w:cs="仿宋"/>
        </w:rPr>
        <w:t>新能源企业出海</w:t>
      </w:r>
      <w:r>
        <w:rPr>
          <w:rFonts w:ascii="仿宋" w:eastAsia="仿宋" w:hAnsi="仿宋" w:cs="仿宋"/>
        </w:rPr>
        <w:t>•</w:t>
      </w:r>
      <w:r>
        <w:rPr>
          <w:rFonts w:ascii="仿宋" w:eastAsia="仿宋" w:hAnsi="仿宋" w:cs="仿宋"/>
        </w:rPr>
        <w:t>扬帆远航</w:t>
      </w:r>
      <w:r>
        <w:rPr>
          <w:rFonts w:ascii="仿宋" w:eastAsia="仿宋" w:hAnsi="仿宋" w:cs="仿宋"/>
        </w:rPr>
        <w:t>”</w:t>
      </w:r>
      <w:r>
        <w:rPr>
          <w:rFonts w:ascii="仿宋" w:eastAsia="仿宋" w:hAnsi="仿宋" w:cs="仿宋"/>
        </w:rPr>
        <w:t>、</w:t>
      </w:r>
      <w:r>
        <w:rPr>
          <w:rFonts w:ascii="仿宋" w:eastAsia="仿宋" w:hAnsi="仿宋" w:cs="仿宋"/>
        </w:rPr>
        <w:t>“</w:t>
      </w:r>
      <w:r>
        <w:rPr>
          <w:rFonts w:ascii="仿宋" w:eastAsia="仿宋" w:hAnsi="仿宋" w:cs="仿宋"/>
        </w:rPr>
        <w:t>新兴行业出海与世界对话</w:t>
      </w:r>
      <w:r>
        <w:rPr>
          <w:rFonts w:ascii="仿宋" w:eastAsia="仿宋" w:hAnsi="仿宋" w:cs="仿宋"/>
        </w:rPr>
        <w:t>”</w:t>
      </w:r>
      <w:r>
        <w:rPr>
          <w:rFonts w:ascii="仿宋" w:eastAsia="仿宋" w:hAnsi="仿宋" w:cs="仿宋"/>
        </w:rPr>
        <w:t>等主题活动，努力为我市企业</w:t>
      </w:r>
      <w:r>
        <w:rPr>
          <w:rFonts w:ascii="仿宋" w:eastAsia="仿宋" w:hAnsi="仿宋" w:cs="仿宋"/>
        </w:rPr>
        <w:t>“</w:t>
      </w:r>
      <w:r>
        <w:rPr>
          <w:rFonts w:ascii="仿宋" w:eastAsia="仿宋" w:hAnsi="仿宋" w:cs="仿宋"/>
        </w:rPr>
        <w:t>走出去</w:t>
      </w:r>
      <w:r>
        <w:rPr>
          <w:rFonts w:ascii="仿宋" w:eastAsia="仿宋" w:hAnsi="仿宋" w:cs="仿宋"/>
        </w:rPr>
        <w:t>”</w:t>
      </w:r>
      <w:r>
        <w:rPr>
          <w:rFonts w:ascii="仿宋" w:eastAsia="仿宋" w:hAnsi="仿宋" w:cs="仿宋"/>
        </w:rPr>
        <w:t>包括新能源企业</w:t>
      </w:r>
      <w:r>
        <w:rPr>
          <w:rFonts w:ascii="仿宋" w:eastAsia="仿宋" w:hAnsi="仿宋" w:cs="仿宋"/>
        </w:rPr>
        <w:t>“</w:t>
      </w:r>
      <w:r>
        <w:rPr>
          <w:rFonts w:ascii="仿宋" w:eastAsia="仿宋" w:hAnsi="仿宋" w:cs="仿宋"/>
        </w:rPr>
        <w:t>出海</w:t>
      </w:r>
      <w:r>
        <w:rPr>
          <w:rFonts w:ascii="仿宋" w:eastAsia="仿宋" w:hAnsi="仿宋" w:cs="仿宋"/>
        </w:rPr>
        <w:t>”</w:t>
      </w:r>
      <w:r>
        <w:rPr>
          <w:rFonts w:ascii="仿宋" w:eastAsia="仿宋" w:hAnsi="仿宋" w:cs="仿宋"/>
        </w:rPr>
        <w:t>提供更优保障和服务。</w:t>
      </w:r>
    </w:p>
    <w:p w:rsidR="006E1C44" w:rsidRDefault="00B46BCC">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（四）推动国际商会和会员服务中心建设迈上新台阶。为进一步发挥国际商会</w:t>
      </w:r>
      <w:r>
        <w:rPr>
          <w:rFonts w:ascii="仿宋" w:eastAsia="仿宋" w:hAnsi="仿宋" w:cs="仿宋"/>
        </w:rPr>
        <w:t>“</w:t>
      </w:r>
      <w:r>
        <w:rPr>
          <w:rFonts w:ascii="仿宋" w:eastAsia="仿宋" w:hAnsi="仿宋" w:cs="仿宋"/>
        </w:rPr>
        <w:t>企业之家</w:t>
      </w:r>
      <w:r>
        <w:rPr>
          <w:rFonts w:ascii="仿宋" w:eastAsia="仿宋" w:hAnsi="仿宋" w:cs="仿宋"/>
        </w:rPr>
        <w:t>”</w:t>
      </w:r>
      <w:r>
        <w:rPr>
          <w:rFonts w:ascii="仿宋" w:eastAsia="仿宋" w:hAnsi="仿宋" w:cs="仿宋"/>
        </w:rPr>
        <w:t>作用。一是不断丰富会员业态。重点吸纳数字贸易、跨境电商、离岸贸易等贸易新业</w:t>
      </w:r>
      <w:proofErr w:type="gramStart"/>
      <w:r>
        <w:rPr>
          <w:rFonts w:ascii="仿宋" w:eastAsia="仿宋" w:hAnsi="仿宋" w:cs="仿宋"/>
        </w:rPr>
        <w:t>态企业</w:t>
      </w:r>
      <w:proofErr w:type="gramEnd"/>
      <w:r>
        <w:rPr>
          <w:rFonts w:ascii="仿宋" w:eastAsia="仿宋" w:hAnsi="仿宋" w:cs="仿宋"/>
        </w:rPr>
        <w:t>入会</w:t>
      </w:r>
      <w:r>
        <w:rPr>
          <w:rFonts w:ascii="仿宋" w:eastAsia="仿宋" w:hAnsi="仿宋" w:cs="仿宋"/>
        </w:rPr>
        <w:t>，</w:t>
      </w:r>
      <w:r>
        <w:rPr>
          <w:rFonts w:ascii="仿宋" w:eastAsia="仿宋" w:hAnsi="仿宋" w:cs="仿宋"/>
        </w:rPr>
        <w:lastRenderedPageBreak/>
        <w:t>目前会员数已超</w:t>
      </w:r>
      <w:r>
        <w:rPr>
          <w:rFonts w:ascii="仿宋" w:eastAsia="仿宋" w:hAnsi="仿宋" w:cs="仿宋"/>
        </w:rPr>
        <w:t>1100</w:t>
      </w:r>
      <w:r>
        <w:rPr>
          <w:rFonts w:ascii="仿宋" w:eastAsia="仿宋" w:hAnsi="仿宋" w:cs="仿宋"/>
        </w:rPr>
        <w:t>家。二是深化体制机制创新。充分发挥涉外商事法律、涉外金融、</w:t>
      </w:r>
      <w:r>
        <w:rPr>
          <w:rFonts w:ascii="仿宋" w:eastAsia="仿宋" w:hAnsi="仿宋" w:cs="仿宋"/>
        </w:rPr>
        <w:t>FTA</w:t>
      </w:r>
      <w:r>
        <w:rPr>
          <w:rFonts w:ascii="仿宋" w:eastAsia="仿宋" w:hAnsi="仿宋" w:cs="仿宋"/>
        </w:rPr>
        <w:t>与贸易便利化、服务贸易四个专业委员会作用，加强各类专业化服务供给；加强与各省市商会企业开展互动交流，学习借鉴先进地区经验做法。三是积极加入</w:t>
      </w:r>
      <w:r>
        <w:rPr>
          <w:rFonts w:ascii="仿宋" w:eastAsia="仿宋" w:hAnsi="仿宋" w:cs="仿宋"/>
        </w:rPr>
        <w:t>“</w:t>
      </w:r>
      <w:r>
        <w:rPr>
          <w:rFonts w:ascii="仿宋" w:eastAsia="仿宋" w:hAnsi="仿宋" w:cs="仿宋"/>
        </w:rPr>
        <w:t>长三角国际商会联盟</w:t>
      </w:r>
      <w:r>
        <w:rPr>
          <w:rFonts w:ascii="仿宋" w:eastAsia="仿宋" w:hAnsi="仿宋" w:cs="仿宋"/>
        </w:rPr>
        <w:t>”“</w:t>
      </w:r>
      <w:r>
        <w:rPr>
          <w:rFonts w:ascii="仿宋" w:eastAsia="仿宋" w:hAnsi="仿宋" w:cs="仿宋"/>
        </w:rPr>
        <w:t>一带一路</w:t>
      </w:r>
      <w:r>
        <w:rPr>
          <w:rFonts w:ascii="仿宋" w:eastAsia="仿宋" w:hAnsi="仿宋" w:cs="仿宋"/>
        </w:rPr>
        <w:t>”</w:t>
      </w:r>
      <w:r>
        <w:rPr>
          <w:rFonts w:ascii="仿宋" w:eastAsia="仿宋" w:hAnsi="仿宋" w:cs="仿宋"/>
        </w:rPr>
        <w:t>地市贸促会联盟以及</w:t>
      </w:r>
      <w:r>
        <w:rPr>
          <w:rFonts w:ascii="仿宋" w:eastAsia="仿宋" w:hAnsi="仿宋" w:cs="仿宋"/>
        </w:rPr>
        <w:t>“</w:t>
      </w:r>
      <w:r>
        <w:rPr>
          <w:rFonts w:ascii="仿宋" w:eastAsia="仿宋" w:hAnsi="仿宋" w:cs="仿宋"/>
        </w:rPr>
        <w:t>环太湖国际商会联盟</w:t>
      </w:r>
      <w:r>
        <w:rPr>
          <w:rFonts w:ascii="仿宋" w:eastAsia="仿宋" w:hAnsi="仿宋" w:cs="仿宋"/>
        </w:rPr>
        <w:t>”</w:t>
      </w:r>
      <w:r>
        <w:rPr>
          <w:rFonts w:ascii="仿宋" w:eastAsia="仿宋" w:hAnsi="仿宋" w:cs="仿宋"/>
        </w:rPr>
        <w:t>等组织，共同开展业务合作、交流考察、信息互动、贸易投资意向对接等工作，促进会员企业深度参与产业链、供应链优化配置，共同分享长三角区域一体化发展等战略发展机遇。与此同时，我们多</w:t>
      </w:r>
      <w:proofErr w:type="gramStart"/>
      <w:r>
        <w:rPr>
          <w:rFonts w:ascii="仿宋" w:eastAsia="仿宋" w:hAnsi="仿宋" w:cs="仿宋"/>
        </w:rPr>
        <w:t>措并举抓好</w:t>
      </w:r>
      <w:proofErr w:type="gramEnd"/>
      <w:r>
        <w:rPr>
          <w:rFonts w:ascii="仿宋" w:eastAsia="仿宋" w:hAnsi="仿宋" w:cs="仿宋"/>
        </w:rPr>
        <w:t>服务外资企业工作专班的相关工</w:t>
      </w:r>
      <w:r>
        <w:rPr>
          <w:rFonts w:ascii="仿宋" w:eastAsia="仿宋" w:hAnsi="仿宋" w:cs="仿宋"/>
        </w:rPr>
        <w:t>作，</w:t>
      </w:r>
      <w:r>
        <w:rPr>
          <w:rFonts w:ascii="仿宋" w:eastAsia="仿宋" w:hAnsi="仿宋" w:cs="仿宋"/>
        </w:rPr>
        <w:t>7</w:t>
      </w:r>
      <w:r>
        <w:rPr>
          <w:rFonts w:ascii="仿宋" w:eastAsia="仿宋" w:hAnsi="仿宋" w:cs="仿宋"/>
        </w:rPr>
        <w:t>月份，联合中国国际商会外资企业工作委员会举办了外资企业座谈会，听取企业意见建议，研究优化服务举措；通过</w:t>
      </w:r>
      <w:r>
        <w:rPr>
          <w:rFonts w:ascii="仿宋" w:eastAsia="仿宋" w:hAnsi="仿宋" w:cs="仿宋"/>
        </w:rPr>
        <w:t>“</w:t>
      </w:r>
      <w:r>
        <w:rPr>
          <w:rFonts w:ascii="仿宋" w:eastAsia="仿宋" w:hAnsi="仿宋" w:cs="仿宋"/>
        </w:rPr>
        <w:t>大走访</w:t>
      </w:r>
      <w:r>
        <w:rPr>
          <w:rFonts w:ascii="仿宋" w:eastAsia="仿宋" w:hAnsi="仿宋" w:cs="仿宋"/>
        </w:rPr>
        <w:t>”</w:t>
      </w:r>
      <w:r>
        <w:rPr>
          <w:rFonts w:ascii="仿宋" w:eastAsia="仿宋" w:hAnsi="仿宋" w:cs="仿宋"/>
        </w:rPr>
        <w:t>、座谈会、</w:t>
      </w:r>
      <w:r>
        <w:rPr>
          <w:rFonts w:ascii="仿宋" w:eastAsia="仿宋" w:hAnsi="仿宋" w:cs="仿宋"/>
        </w:rPr>
        <w:t>“</w:t>
      </w:r>
      <w:r>
        <w:rPr>
          <w:rFonts w:ascii="仿宋" w:eastAsia="仿宋" w:hAnsi="仿宋" w:cs="仿宋"/>
        </w:rPr>
        <w:t>一对一</w:t>
      </w:r>
      <w:r>
        <w:rPr>
          <w:rFonts w:ascii="仿宋" w:eastAsia="仿宋" w:hAnsi="仿宋" w:cs="仿宋"/>
        </w:rPr>
        <w:t>”</w:t>
      </w:r>
      <w:r>
        <w:rPr>
          <w:rFonts w:ascii="仿宋" w:eastAsia="仿宋" w:hAnsi="仿宋" w:cs="仿宋"/>
        </w:rPr>
        <w:t>服务等形式，推动解决苏州外资企业相关诉求，在贸促系统、业务部门的共同努力下，所有问题都得到有效回应。</w:t>
      </w:r>
    </w:p>
    <w:p w:rsidR="006E1C44" w:rsidRDefault="006E1C44">
      <w:pPr>
        <w:pStyle w:val="a4"/>
        <w:spacing w:line="235" w:lineRule="auto"/>
        <w:ind w:leftChars="300" w:left="669" w:right="2414" w:hanging="9"/>
        <w:jc w:val="both"/>
        <w:rPr>
          <w:rFonts w:ascii="仿宋" w:eastAsia="仿宋" w:hAnsi="仿宋" w:cs="仿宋"/>
          <w:lang w:val="en-US"/>
        </w:rPr>
        <w:sectPr w:rsidR="006E1C44">
          <w:footerReference w:type="default" r:id="rId14"/>
          <w:pgSz w:w="11906" w:h="16838"/>
          <w:pgMar w:top="1580" w:right="700" w:bottom="770" w:left="1020" w:header="283" w:footer="280" w:gutter="0"/>
          <w:pgNumType w:fmt="numberInDash"/>
          <w:cols w:space="720"/>
          <w:formProt w:val="0"/>
          <w:docGrid w:linePitch="100"/>
        </w:sectPr>
      </w:pPr>
    </w:p>
    <w:p w:rsidR="006E1C44" w:rsidRDefault="006E1C44">
      <w:pPr>
        <w:pStyle w:val="a4"/>
        <w:spacing w:line="360" w:lineRule="auto"/>
        <w:ind w:leftChars="200" w:left="440" w:rightChars="229" w:right="504" w:firstLine="658"/>
        <w:jc w:val="both"/>
        <w:rPr>
          <w:rFonts w:ascii="仿宋" w:eastAsia="仿宋" w:hAnsi="仿宋" w:cs="仿宋"/>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6E1C44">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6E1C44" w:rsidRDefault="00B46BCC">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6E1C44" w:rsidRDefault="00B46BCC">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中国国际贸易促进委员会苏州市委员会</w:t>
      </w:r>
    </w:p>
    <w:p w:rsidR="006E1C44" w:rsidRDefault="00B46BCC">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2024</w:t>
      </w:r>
      <w:r>
        <w:rPr>
          <w:rFonts w:ascii="宋体" w:eastAsia="宋体" w:hAnsi="宋体" w:cs="宋体" w:hint="eastAsia"/>
          <w:b/>
          <w:bCs/>
          <w:sz w:val="36"/>
          <w:szCs w:val="36"/>
        </w:rPr>
        <w:t>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6E1C44">
        <w:trPr>
          <w:trHeight w:val="544"/>
          <w:jc w:val="center"/>
        </w:trPr>
        <w:tc>
          <w:tcPr>
            <w:tcW w:w="10447" w:type="dxa"/>
            <w:gridSpan w:val="5"/>
          </w:tcPr>
          <w:p w:rsidR="006E1C44" w:rsidRDefault="00B46BCC">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6E1C44">
        <w:trPr>
          <w:trHeight w:val="348"/>
          <w:jc w:val="center"/>
        </w:trPr>
        <w:tc>
          <w:tcPr>
            <w:tcW w:w="3468" w:type="dxa"/>
          </w:tcPr>
          <w:p w:rsidR="006E1C44" w:rsidRDefault="006E1C44">
            <w:pPr>
              <w:rPr>
                <w:rFonts w:ascii="仿宋" w:eastAsia="仿宋" w:hAnsi="仿宋" w:cs="仿宋"/>
                <w:color w:val="000000"/>
                <w:sz w:val="20"/>
              </w:rPr>
            </w:pPr>
          </w:p>
        </w:tc>
        <w:tc>
          <w:tcPr>
            <w:tcW w:w="1777" w:type="dxa"/>
          </w:tcPr>
          <w:p w:rsidR="006E1C44" w:rsidRDefault="006E1C44">
            <w:pPr>
              <w:rPr>
                <w:rFonts w:ascii="仿宋" w:eastAsia="仿宋" w:hAnsi="仿宋" w:cs="仿宋"/>
                <w:color w:val="000000"/>
                <w:sz w:val="20"/>
              </w:rPr>
            </w:pPr>
          </w:p>
        </w:tc>
        <w:tc>
          <w:tcPr>
            <w:tcW w:w="5202" w:type="dxa"/>
            <w:gridSpan w:val="3"/>
          </w:tcPr>
          <w:p w:rsidR="006E1C44" w:rsidRDefault="00B46BCC">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6E1C44">
        <w:trPr>
          <w:trHeight w:val="333"/>
          <w:jc w:val="center"/>
        </w:trPr>
        <w:tc>
          <w:tcPr>
            <w:tcW w:w="7280" w:type="dxa"/>
            <w:gridSpan w:val="3"/>
            <w:tcBorders>
              <w:bottom w:val="single" w:sz="4" w:space="0" w:color="000000"/>
            </w:tcBorders>
            <w:vAlign w:val="center"/>
          </w:tcPr>
          <w:p w:rsidR="006E1C44" w:rsidRDefault="00B46BCC">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中国国际贸易促进委员会苏州市委员会</w:t>
            </w:r>
          </w:p>
        </w:tc>
        <w:tc>
          <w:tcPr>
            <w:tcW w:w="3167" w:type="dxa"/>
            <w:gridSpan w:val="2"/>
            <w:tcBorders>
              <w:bottom w:val="single" w:sz="4" w:space="0" w:color="000000"/>
            </w:tcBorders>
            <w:vAlign w:val="center"/>
          </w:tcPr>
          <w:p w:rsidR="006E1C44" w:rsidRDefault="00B46BCC">
            <w:pPr>
              <w:jc w:val="right"/>
              <w:rPr>
                <w:rFonts w:ascii="仿宋" w:eastAsia="仿宋" w:hAnsi="仿宋" w:cs="仿宋"/>
                <w:color w:val="000000"/>
              </w:rPr>
            </w:pPr>
            <w:r>
              <w:rPr>
                <w:rFonts w:ascii="仿宋" w:eastAsia="仿宋" w:hAnsi="仿宋" w:cs="仿宋" w:hint="eastAsia"/>
                <w:color w:val="000000"/>
              </w:rPr>
              <w:t>金额单位：万元</w:t>
            </w:r>
          </w:p>
        </w:tc>
      </w:tr>
      <w:tr w:rsidR="006E1C44">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color w:val="000000"/>
                <w:lang w:eastAsia="ar-SA"/>
              </w:rPr>
              <w:t>支出</w:t>
            </w:r>
          </w:p>
        </w:tc>
      </w:tr>
      <w:tr w:rsidR="006E1C44">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color w:val="000000"/>
                <w:lang w:eastAsia="ar-SA"/>
              </w:rPr>
              <w:t>决算数</w:t>
            </w: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947.81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614.23</w:t>
            </w: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95.26</w:t>
            </w: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0.18</w:t>
            </w: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238.14</w:t>
            </w: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6E1C44">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keepNext/>
              <w:keepLines/>
              <w:jc w:val="right"/>
              <w:rPr>
                <w:rFonts w:ascii="仿宋" w:eastAsia="仿宋" w:hAnsi="仿宋" w:cs="仿宋"/>
                <w:color w:val="000000"/>
                <w:lang w:eastAsia="ar-SA"/>
              </w:rPr>
            </w:pPr>
          </w:p>
        </w:tc>
      </w:tr>
      <w:tr w:rsidR="006E1C44">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color w:val="000000"/>
              </w:rPr>
            </w:pPr>
            <w:r>
              <w:rPr>
                <w:rFonts w:ascii="仿宋" w:eastAsia="仿宋" w:hAnsi="仿宋" w:cs="仿宋" w:hint="eastAsia"/>
                <w:color w:val="000000"/>
                <w:lang w:eastAsia="ar-SA"/>
              </w:rPr>
              <w:t>947.81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color w:val="000000"/>
              </w:rPr>
            </w:pPr>
            <w:r>
              <w:rPr>
                <w:rFonts w:ascii="仿宋" w:eastAsia="仿宋" w:hAnsi="仿宋" w:cs="仿宋" w:hint="eastAsia"/>
                <w:color w:val="000000"/>
                <w:lang w:eastAsia="ar-SA"/>
              </w:rPr>
              <w:t>947.81</w:t>
            </w:r>
          </w:p>
        </w:tc>
      </w:tr>
      <w:tr w:rsidR="006E1C44">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color w:val="000000"/>
              </w:rPr>
            </w:pPr>
          </w:p>
        </w:tc>
      </w:tr>
      <w:tr w:rsidR="006E1C44">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color w:val="000000"/>
              </w:rPr>
            </w:pPr>
          </w:p>
        </w:tc>
      </w:tr>
      <w:tr w:rsidR="006E1C44">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6E1C44" w:rsidRDefault="006E1C44">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6E1C44" w:rsidRDefault="006E1C44">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6E1C44" w:rsidRDefault="006E1C44">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6E1C44" w:rsidRDefault="006E1C44">
            <w:pPr>
              <w:rPr>
                <w:rFonts w:ascii="仿宋" w:eastAsia="仿宋" w:hAnsi="仿宋" w:cs="仿宋"/>
                <w:color w:val="000000"/>
              </w:rPr>
            </w:pPr>
          </w:p>
        </w:tc>
      </w:tr>
      <w:tr w:rsidR="006E1C44">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color w:val="000000"/>
              </w:rPr>
            </w:pPr>
            <w:r>
              <w:rPr>
                <w:rFonts w:ascii="仿宋" w:eastAsia="仿宋" w:hAnsi="仿宋" w:cs="仿宋" w:hint="eastAsia"/>
                <w:color w:val="000000"/>
                <w:lang w:eastAsia="ar-SA"/>
              </w:rPr>
              <w:t>947.81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color w:val="000000"/>
              </w:rPr>
            </w:pPr>
            <w:r>
              <w:rPr>
                <w:rFonts w:ascii="仿宋" w:eastAsia="仿宋" w:hAnsi="仿宋" w:cs="仿宋" w:hint="eastAsia"/>
                <w:color w:val="000000"/>
                <w:lang w:eastAsia="ar-SA"/>
              </w:rPr>
              <w:t>947.81</w:t>
            </w:r>
          </w:p>
        </w:tc>
      </w:tr>
    </w:tbl>
    <w:p w:rsidR="006E1C44" w:rsidRDefault="00B46BCC">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6E1C44" w:rsidRDefault="006E1C44">
      <w:pPr>
        <w:spacing w:before="66"/>
        <w:jc w:val="both"/>
        <w:rPr>
          <w:rFonts w:ascii="仿宋" w:eastAsia="仿宋" w:hAnsi="仿宋" w:cs="仿宋"/>
          <w:color w:val="000000"/>
          <w:lang w:val="en-US"/>
        </w:rPr>
        <w:sectPr w:rsidR="006E1C44">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6E1C44">
        <w:trPr>
          <w:trHeight w:val="403"/>
          <w:jc w:val="center"/>
        </w:trPr>
        <w:tc>
          <w:tcPr>
            <w:tcW w:w="16660" w:type="dxa"/>
            <w:gridSpan w:val="10"/>
            <w:vAlign w:val="center"/>
          </w:tcPr>
          <w:p w:rsidR="006E1C44" w:rsidRDefault="00B46BCC">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6E1C44">
        <w:trPr>
          <w:trHeight w:val="247"/>
          <w:jc w:val="center"/>
        </w:trPr>
        <w:tc>
          <w:tcPr>
            <w:tcW w:w="4357" w:type="dxa"/>
            <w:gridSpan w:val="2"/>
            <w:vAlign w:val="center"/>
          </w:tcPr>
          <w:p w:rsidR="006E1C44" w:rsidRDefault="006E1C44">
            <w:pPr>
              <w:pStyle w:val="TableParagraph"/>
              <w:jc w:val="center"/>
              <w:rPr>
                <w:rFonts w:ascii="仿宋" w:eastAsia="仿宋" w:hAnsi="仿宋" w:cs="仿宋"/>
              </w:rPr>
            </w:pPr>
          </w:p>
        </w:tc>
        <w:tc>
          <w:tcPr>
            <w:tcW w:w="1716" w:type="dxa"/>
            <w:vAlign w:val="center"/>
          </w:tcPr>
          <w:p w:rsidR="006E1C44" w:rsidRDefault="006E1C44">
            <w:pPr>
              <w:pStyle w:val="TableParagraph"/>
              <w:jc w:val="center"/>
              <w:rPr>
                <w:rFonts w:ascii="仿宋" w:eastAsia="仿宋" w:hAnsi="仿宋" w:cs="仿宋"/>
              </w:rPr>
            </w:pPr>
          </w:p>
        </w:tc>
        <w:tc>
          <w:tcPr>
            <w:tcW w:w="1728" w:type="dxa"/>
            <w:vAlign w:val="center"/>
          </w:tcPr>
          <w:p w:rsidR="006E1C44" w:rsidRDefault="006E1C44">
            <w:pPr>
              <w:pStyle w:val="TableParagraph"/>
              <w:jc w:val="center"/>
              <w:rPr>
                <w:rFonts w:ascii="仿宋" w:eastAsia="仿宋" w:hAnsi="仿宋" w:cs="仿宋"/>
              </w:rPr>
            </w:pPr>
          </w:p>
        </w:tc>
        <w:tc>
          <w:tcPr>
            <w:tcW w:w="1686" w:type="dxa"/>
            <w:vAlign w:val="center"/>
          </w:tcPr>
          <w:p w:rsidR="006E1C44" w:rsidRDefault="006E1C44">
            <w:pPr>
              <w:pStyle w:val="TableParagraph"/>
              <w:jc w:val="center"/>
              <w:rPr>
                <w:rFonts w:ascii="仿宋" w:eastAsia="仿宋" w:hAnsi="仿宋" w:cs="仿宋"/>
              </w:rPr>
            </w:pPr>
          </w:p>
        </w:tc>
        <w:tc>
          <w:tcPr>
            <w:tcW w:w="3207" w:type="dxa"/>
            <w:gridSpan w:val="2"/>
            <w:vAlign w:val="center"/>
          </w:tcPr>
          <w:p w:rsidR="006E1C44" w:rsidRDefault="006E1C44">
            <w:pPr>
              <w:pStyle w:val="TableParagraph"/>
              <w:jc w:val="center"/>
              <w:rPr>
                <w:rFonts w:ascii="仿宋" w:eastAsia="仿宋" w:hAnsi="仿宋" w:cs="仿宋"/>
              </w:rPr>
            </w:pPr>
          </w:p>
        </w:tc>
        <w:tc>
          <w:tcPr>
            <w:tcW w:w="1263" w:type="dxa"/>
            <w:vAlign w:val="center"/>
          </w:tcPr>
          <w:p w:rsidR="006E1C44" w:rsidRDefault="006E1C44">
            <w:pPr>
              <w:pStyle w:val="TableParagraph"/>
              <w:jc w:val="center"/>
              <w:rPr>
                <w:rFonts w:ascii="仿宋" w:eastAsia="仿宋" w:hAnsi="仿宋" w:cs="仿宋"/>
              </w:rPr>
            </w:pPr>
          </w:p>
        </w:tc>
        <w:tc>
          <w:tcPr>
            <w:tcW w:w="2703" w:type="dxa"/>
            <w:gridSpan w:val="2"/>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6E1C44">
        <w:trPr>
          <w:trHeight w:val="247"/>
          <w:jc w:val="center"/>
        </w:trPr>
        <w:tc>
          <w:tcPr>
            <w:tcW w:w="13957" w:type="dxa"/>
            <w:gridSpan w:val="8"/>
            <w:vAlign w:val="center"/>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2703" w:type="dxa"/>
            <w:gridSpan w:val="2"/>
            <w:vAlign w:val="center"/>
          </w:tcPr>
          <w:p w:rsidR="006E1C44" w:rsidRDefault="00B46BCC">
            <w:pPr>
              <w:pStyle w:val="TableParagraph"/>
              <w:jc w:val="right"/>
              <w:rPr>
                <w:rFonts w:ascii="仿宋" w:eastAsia="仿宋" w:hAnsi="仿宋" w:cs="仿宋"/>
              </w:rPr>
            </w:pPr>
            <w:r>
              <w:rPr>
                <w:rFonts w:ascii="仿宋" w:eastAsia="仿宋" w:hAnsi="仿宋" w:cs="仿宋" w:hint="eastAsia"/>
              </w:rPr>
              <w:t>金额单位：万元</w:t>
            </w:r>
          </w:p>
        </w:tc>
      </w:tr>
      <w:tr w:rsidR="006E1C44">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其他收入</w:t>
            </w:r>
          </w:p>
        </w:tc>
      </w:tr>
      <w:tr w:rsidR="006E1C44">
        <w:trPr>
          <w:cantSplit/>
          <w:trHeight w:val="502"/>
          <w:jc w:val="center"/>
        </w:trPr>
        <w:tc>
          <w:tcPr>
            <w:tcW w:w="1201"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w:t>
            </w:r>
          </w:p>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6E1C44" w:rsidRDefault="006E1C44">
            <w:pPr>
              <w:rPr>
                <w:rFonts w:ascii="仿宋" w:eastAsia="仿宋" w:hAnsi="仿宋" w:cs="仿宋"/>
              </w:rPr>
            </w:pPr>
          </w:p>
        </w:tc>
        <w:tc>
          <w:tcPr>
            <w:tcW w:w="1728" w:type="dxa"/>
            <w:vMerge/>
            <w:tcBorders>
              <w:left w:val="single" w:sz="4" w:space="0" w:color="000000"/>
              <w:bottom w:val="single" w:sz="4" w:space="0" w:color="000000"/>
            </w:tcBorders>
          </w:tcPr>
          <w:p w:rsidR="006E1C44" w:rsidRDefault="006E1C44">
            <w:pPr>
              <w:rPr>
                <w:rFonts w:ascii="仿宋" w:eastAsia="仿宋" w:hAnsi="仿宋" w:cs="仿宋"/>
              </w:rPr>
            </w:pPr>
          </w:p>
        </w:tc>
        <w:tc>
          <w:tcPr>
            <w:tcW w:w="1686" w:type="dxa"/>
            <w:vMerge/>
            <w:tcBorders>
              <w:left w:val="single" w:sz="4" w:space="0" w:color="000000"/>
              <w:bottom w:val="single" w:sz="4" w:space="0" w:color="000000"/>
            </w:tcBorders>
          </w:tcPr>
          <w:p w:rsidR="006E1C44" w:rsidRDefault="006E1C44">
            <w:pPr>
              <w:rPr>
                <w:rFonts w:ascii="仿宋" w:eastAsia="仿宋" w:hAnsi="仿宋" w:cs="仿宋"/>
              </w:rPr>
            </w:pPr>
          </w:p>
        </w:tc>
        <w:tc>
          <w:tcPr>
            <w:tcW w:w="1503" w:type="dxa"/>
            <w:vMerge/>
            <w:tcBorders>
              <w:left w:val="single" w:sz="4" w:space="0" w:color="000000"/>
              <w:bottom w:val="single" w:sz="4" w:space="0" w:color="000000"/>
            </w:tcBorders>
            <w:vAlign w:val="center"/>
          </w:tcPr>
          <w:p w:rsidR="006E1C44" w:rsidRDefault="006E1C44">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6E1C44" w:rsidRDefault="006E1C44">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6E1C44" w:rsidRDefault="006E1C44">
            <w:pPr>
              <w:rPr>
                <w:rFonts w:ascii="仿宋" w:eastAsia="仿宋" w:hAnsi="仿宋" w:cs="仿宋"/>
              </w:rPr>
            </w:pPr>
          </w:p>
        </w:tc>
        <w:tc>
          <w:tcPr>
            <w:tcW w:w="1375" w:type="dxa"/>
            <w:vMerge/>
            <w:tcBorders>
              <w:left w:val="single" w:sz="4" w:space="0" w:color="000000"/>
              <w:bottom w:val="single" w:sz="4" w:space="0" w:color="000000"/>
            </w:tcBorders>
          </w:tcPr>
          <w:p w:rsidR="006E1C44" w:rsidRDefault="006E1C44">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rPr>
            </w:pPr>
          </w:p>
        </w:tc>
      </w:tr>
      <w:tr w:rsidR="006E1C44">
        <w:trPr>
          <w:cantSplit/>
          <w:trHeight w:hRule="exact" w:val="267"/>
          <w:jc w:val="center"/>
        </w:trPr>
        <w:tc>
          <w:tcPr>
            <w:tcW w:w="4357"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6E1C44" w:rsidRDefault="00B46BCC">
            <w:pPr>
              <w:jc w:val="right"/>
              <w:rPr>
                <w:rFonts w:ascii="仿宋" w:eastAsia="仿宋" w:hAnsi="仿宋" w:cs="仿宋"/>
                <w:sz w:val="20"/>
                <w:szCs w:val="20"/>
              </w:rPr>
            </w:pPr>
            <w:r>
              <w:rPr>
                <w:rFonts w:ascii="仿宋" w:eastAsia="仿宋" w:hAnsi="仿宋" w:cs="仿宋" w:hint="eastAsia"/>
                <w:sz w:val="20"/>
                <w:szCs w:val="20"/>
              </w:rPr>
              <w:t>947.81</w:t>
            </w:r>
          </w:p>
        </w:tc>
        <w:tc>
          <w:tcPr>
            <w:tcW w:w="1728" w:type="dxa"/>
            <w:tcBorders>
              <w:left w:val="single" w:sz="4" w:space="0" w:color="000000"/>
              <w:bottom w:val="single" w:sz="4" w:space="0" w:color="000000"/>
            </w:tcBorders>
            <w:vAlign w:val="center"/>
          </w:tcPr>
          <w:p w:rsidR="006E1C44" w:rsidRDefault="00B46BCC">
            <w:pPr>
              <w:jc w:val="right"/>
              <w:rPr>
                <w:rFonts w:ascii="仿宋" w:eastAsia="仿宋" w:hAnsi="仿宋" w:cs="仿宋"/>
                <w:sz w:val="20"/>
                <w:szCs w:val="20"/>
              </w:rPr>
            </w:pPr>
            <w:r>
              <w:rPr>
                <w:rFonts w:ascii="仿宋" w:eastAsia="仿宋" w:hAnsi="仿宋" w:cs="仿宋" w:hint="eastAsia"/>
                <w:sz w:val="20"/>
                <w:szCs w:val="20"/>
              </w:rPr>
              <w:t>947.81</w:t>
            </w:r>
          </w:p>
        </w:tc>
        <w:tc>
          <w:tcPr>
            <w:tcW w:w="1686" w:type="dxa"/>
            <w:tcBorders>
              <w:left w:val="single" w:sz="4" w:space="0" w:color="000000"/>
              <w:bottom w:val="single" w:sz="4" w:space="0" w:color="000000"/>
            </w:tcBorders>
            <w:vAlign w:val="center"/>
          </w:tcPr>
          <w:p w:rsidR="006E1C44" w:rsidRDefault="006E1C44">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6E1C44" w:rsidRDefault="006E1C44">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6E1C44" w:rsidRDefault="006E1C44">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6E1C44" w:rsidRDefault="006E1C44">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6E1C44" w:rsidRDefault="006E1C44">
            <w:pPr>
              <w:jc w:val="right"/>
              <w:rPr>
                <w:rFonts w:ascii="仿宋" w:eastAsia="仿宋" w:hAnsi="仿宋" w:cs="仿宋"/>
                <w:sz w:val="20"/>
                <w:szCs w:val="20"/>
              </w:rPr>
            </w:pPr>
          </w:p>
        </w:tc>
        <w:tc>
          <w:tcPr>
            <w:tcW w:w="1328" w:type="dxa"/>
            <w:tcBorders>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614.23</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614.23</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0.16</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0.16</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2010302</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0.16</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0.16</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614.07</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614.07</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478.62</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478.62</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2011302</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135.45</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135.45</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95.26</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95.26</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95.26</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95.26</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57.71</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57.71</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25.82</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25.82</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卫生健康支出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卫生健康管理事务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2100102</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0.18</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238.14</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238.14</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238.14</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238.14</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72.77</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72.77</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110.41</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110.41</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r w:rsidR="006E1C44">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2210203</w:t>
            </w:r>
          </w:p>
        </w:tc>
        <w:tc>
          <w:tcPr>
            <w:tcW w:w="315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54.96</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20"/>
                <w:szCs w:val="20"/>
              </w:rPr>
            </w:pPr>
            <w:r>
              <w:rPr>
                <w:rFonts w:ascii="仿宋" w:eastAsia="仿宋" w:hAnsi="仿宋" w:cs="仿宋" w:hint="eastAsia"/>
                <w:sz w:val="20"/>
                <w:szCs w:val="20"/>
              </w:rPr>
              <w:t>54.96</w:t>
            </w:r>
          </w:p>
        </w:tc>
        <w:tc>
          <w:tcPr>
            <w:tcW w:w="168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sz w:val="20"/>
                <w:szCs w:val="20"/>
              </w:rPr>
            </w:pPr>
          </w:p>
        </w:tc>
      </w:tr>
    </w:tbl>
    <w:p w:rsidR="006E1C44" w:rsidRDefault="00B46BCC">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6E1C44" w:rsidRDefault="006E1C44">
      <w:pPr>
        <w:spacing w:before="66"/>
        <w:ind w:left="57" w:firstLineChars="100" w:firstLine="220"/>
        <w:jc w:val="both"/>
        <w:rPr>
          <w:rFonts w:ascii="仿宋" w:eastAsia="仿宋" w:hAnsi="仿宋" w:cs="仿宋"/>
        </w:rPr>
        <w:sectPr w:rsidR="006E1C44">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6E1C44">
        <w:trPr>
          <w:trHeight w:val="532"/>
        </w:trPr>
        <w:tc>
          <w:tcPr>
            <w:tcW w:w="15689" w:type="dxa"/>
            <w:gridSpan w:val="8"/>
            <w:vAlign w:val="center"/>
          </w:tcPr>
          <w:p w:rsidR="006E1C44" w:rsidRDefault="00B46BCC">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6E1C44">
        <w:trPr>
          <w:trHeight w:val="227"/>
        </w:trPr>
        <w:tc>
          <w:tcPr>
            <w:tcW w:w="5115" w:type="dxa"/>
            <w:gridSpan w:val="2"/>
            <w:vAlign w:val="center"/>
          </w:tcPr>
          <w:p w:rsidR="006E1C44" w:rsidRDefault="006E1C44">
            <w:pPr>
              <w:pStyle w:val="TableParagraph"/>
              <w:jc w:val="center"/>
              <w:rPr>
                <w:rFonts w:ascii="仿宋" w:eastAsia="仿宋" w:hAnsi="仿宋" w:cs="仿宋"/>
              </w:rPr>
            </w:pPr>
          </w:p>
        </w:tc>
        <w:tc>
          <w:tcPr>
            <w:tcW w:w="2164" w:type="dxa"/>
            <w:vAlign w:val="center"/>
          </w:tcPr>
          <w:p w:rsidR="006E1C44" w:rsidRDefault="006E1C44">
            <w:pPr>
              <w:pStyle w:val="TableParagraph"/>
              <w:jc w:val="center"/>
              <w:rPr>
                <w:rFonts w:ascii="仿宋" w:eastAsia="仿宋" w:hAnsi="仿宋" w:cs="仿宋"/>
                <w:sz w:val="20"/>
              </w:rPr>
            </w:pPr>
          </w:p>
        </w:tc>
        <w:tc>
          <w:tcPr>
            <w:tcW w:w="1897" w:type="dxa"/>
            <w:vAlign w:val="center"/>
          </w:tcPr>
          <w:p w:rsidR="006E1C44" w:rsidRDefault="006E1C44">
            <w:pPr>
              <w:pStyle w:val="TableParagraph"/>
              <w:jc w:val="center"/>
              <w:rPr>
                <w:rFonts w:ascii="仿宋" w:eastAsia="仿宋" w:hAnsi="仿宋" w:cs="仿宋"/>
                <w:sz w:val="20"/>
              </w:rPr>
            </w:pPr>
          </w:p>
        </w:tc>
        <w:tc>
          <w:tcPr>
            <w:tcW w:w="1739" w:type="dxa"/>
            <w:vAlign w:val="center"/>
          </w:tcPr>
          <w:p w:rsidR="006E1C44" w:rsidRDefault="006E1C44">
            <w:pPr>
              <w:pStyle w:val="TableParagraph"/>
              <w:jc w:val="center"/>
              <w:rPr>
                <w:rFonts w:ascii="仿宋" w:eastAsia="仿宋" w:hAnsi="仿宋" w:cs="仿宋"/>
                <w:sz w:val="20"/>
              </w:rPr>
            </w:pPr>
          </w:p>
        </w:tc>
        <w:tc>
          <w:tcPr>
            <w:tcW w:w="1715" w:type="dxa"/>
            <w:vAlign w:val="center"/>
          </w:tcPr>
          <w:p w:rsidR="006E1C44" w:rsidRDefault="006E1C44">
            <w:pPr>
              <w:pStyle w:val="TableParagraph"/>
              <w:jc w:val="center"/>
              <w:rPr>
                <w:rFonts w:ascii="仿宋" w:eastAsia="仿宋" w:hAnsi="仿宋" w:cs="仿宋"/>
                <w:sz w:val="20"/>
              </w:rPr>
            </w:pPr>
          </w:p>
        </w:tc>
        <w:tc>
          <w:tcPr>
            <w:tcW w:w="3059" w:type="dxa"/>
            <w:gridSpan w:val="2"/>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6E1C44">
        <w:trPr>
          <w:trHeight w:val="90"/>
        </w:trPr>
        <w:tc>
          <w:tcPr>
            <w:tcW w:w="12630" w:type="dxa"/>
            <w:gridSpan w:val="6"/>
            <w:vAlign w:val="center"/>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059" w:type="dxa"/>
            <w:gridSpan w:val="2"/>
            <w:vAlign w:val="center"/>
          </w:tcPr>
          <w:p w:rsidR="006E1C44" w:rsidRDefault="00B46BCC">
            <w:pPr>
              <w:pStyle w:val="TableParagraph"/>
              <w:jc w:val="right"/>
              <w:rPr>
                <w:rFonts w:ascii="仿宋" w:eastAsia="仿宋" w:hAnsi="仿宋" w:cs="仿宋"/>
              </w:rPr>
            </w:pPr>
            <w:r>
              <w:rPr>
                <w:rFonts w:ascii="仿宋" w:eastAsia="仿宋" w:hAnsi="仿宋" w:cs="仿宋" w:hint="eastAsia"/>
              </w:rPr>
              <w:t>金额单位：万元</w:t>
            </w:r>
          </w:p>
        </w:tc>
      </w:tr>
      <w:tr w:rsidR="006E1C44">
        <w:trPr>
          <w:trHeight w:val="90"/>
        </w:trPr>
        <w:tc>
          <w:tcPr>
            <w:tcW w:w="5115"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对附属单位补助支出</w:t>
            </w:r>
          </w:p>
        </w:tc>
      </w:tr>
      <w:tr w:rsidR="006E1C44">
        <w:trPr>
          <w:trHeight w:val="176"/>
        </w:trPr>
        <w:tc>
          <w:tcPr>
            <w:tcW w:w="1188"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w:t>
            </w:r>
          </w:p>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6E1C44" w:rsidRDefault="006E1C44">
            <w:pPr>
              <w:rPr>
                <w:rFonts w:ascii="仿宋" w:eastAsia="仿宋" w:hAnsi="仿宋" w:cs="仿宋"/>
              </w:rPr>
            </w:pPr>
          </w:p>
        </w:tc>
        <w:tc>
          <w:tcPr>
            <w:tcW w:w="1897" w:type="dxa"/>
            <w:vMerge/>
            <w:tcBorders>
              <w:left w:val="single" w:sz="4" w:space="0" w:color="000000"/>
              <w:bottom w:val="single" w:sz="4" w:space="0" w:color="000000"/>
            </w:tcBorders>
          </w:tcPr>
          <w:p w:rsidR="006E1C44" w:rsidRDefault="006E1C44">
            <w:pPr>
              <w:rPr>
                <w:rFonts w:ascii="仿宋" w:eastAsia="仿宋" w:hAnsi="仿宋" w:cs="仿宋"/>
              </w:rPr>
            </w:pPr>
          </w:p>
        </w:tc>
        <w:tc>
          <w:tcPr>
            <w:tcW w:w="1739" w:type="dxa"/>
            <w:vMerge/>
            <w:tcBorders>
              <w:left w:val="single" w:sz="4" w:space="0" w:color="000000"/>
              <w:bottom w:val="single" w:sz="4" w:space="0" w:color="000000"/>
            </w:tcBorders>
          </w:tcPr>
          <w:p w:rsidR="006E1C44" w:rsidRDefault="006E1C44">
            <w:pPr>
              <w:rPr>
                <w:rFonts w:ascii="仿宋" w:eastAsia="仿宋" w:hAnsi="仿宋" w:cs="仿宋"/>
              </w:rPr>
            </w:pPr>
          </w:p>
        </w:tc>
        <w:tc>
          <w:tcPr>
            <w:tcW w:w="1715" w:type="dxa"/>
            <w:vMerge/>
            <w:tcBorders>
              <w:left w:val="single" w:sz="4" w:space="0" w:color="000000"/>
              <w:bottom w:val="single" w:sz="4" w:space="0" w:color="000000"/>
            </w:tcBorders>
          </w:tcPr>
          <w:p w:rsidR="006E1C44" w:rsidRDefault="006E1C44">
            <w:pPr>
              <w:rPr>
                <w:rFonts w:ascii="仿宋" w:eastAsia="仿宋" w:hAnsi="仿宋" w:cs="仿宋"/>
              </w:rPr>
            </w:pPr>
          </w:p>
        </w:tc>
        <w:tc>
          <w:tcPr>
            <w:tcW w:w="1633" w:type="dxa"/>
            <w:vMerge/>
            <w:tcBorders>
              <w:left w:val="single" w:sz="4" w:space="0" w:color="000000"/>
              <w:bottom w:val="single" w:sz="4" w:space="0" w:color="000000"/>
            </w:tcBorders>
          </w:tcPr>
          <w:p w:rsidR="006E1C44" w:rsidRDefault="006E1C44">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rPr>
            </w:pPr>
          </w:p>
        </w:tc>
      </w:tr>
      <w:tr w:rsidR="006E1C44">
        <w:trPr>
          <w:trHeight w:hRule="exact" w:val="382"/>
        </w:trPr>
        <w:tc>
          <w:tcPr>
            <w:tcW w:w="5115"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1897" w:type="dxa"/>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812.20</w:t>
            </w:r>
          </w:p>
        </w:tc>
        <w:tc>
          <w:tcPr>
            <w:tcW w:w="1739" w:type="dxa"/>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135.61</w:t>
            </w:r>
          </w:p>
        </w:tc>
        <w:tc>
          <w:tcPr>
            <w:tcW w:w="1715" w:type="dxa"/>
            <w:tcBorders>
              <w:left w:val="single" w:sz="4" w:space="0" w:color="000000"/>
              <w:bottom w:val="single" w:sz="4" w:space="0" w:color="000000"/>
            </w:tcBorders>
            <w:vAlign w:val="center"/>
          </w:tcPr>
          <w:p w:rsidR="006E1C44" w:rsidRDefault="006E1C44">
            <w:pPr>
              <w:jc w:val="right"/>
              <w:rPr>
                <w:rFonts w:ascii="仿宋" w:eastAsia="仿宋" w:hAnsi="仿宋" w:cs="仿宋"/>
              </w:rPr>
            </w:pPr>
          </w:p>
        </w:tc>
        <w:tc>
          <w:tcPr>
            <w:tcW w:w="1633" w:type="dxa"/>
            <w:tcBorders>
              <w:left w:val="single" w:sz="4" w:space="0" w:color="000000"/>
              <w:bottom w:val="single" w:sz="4" w:space="0" w:color="000000"/>
            </w:tcBorders>
            <w:vAlign w:val="center"/>
          </w:tcPr>
          <w:p w:rsidR="006E1C44" w:rsidRDefault="006E1C44">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614.23</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478.62</w:t>
            </w:r>
          </w:p>
        </w:tc>
        <w:tc>
          <w:tcPr>
            <w:tcW w:w="1739"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135.61</w:t>
            </w: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20103</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0.16</w:t>
            </w:r>
          </w:p>
        </w:tc>
        <w:tc>
          <w:tcPr>
            <w:tcW w:w="1897"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0.16</w:t>
            </w: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2010302</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0.16</w:t>
            </w:r>
          </w:p>
        </w:tc>
        <w:tc>
          <w:tcPr>
            <w:tcW w:w="1897"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0.16</w:t>
            </w: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20113</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614.07</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478.62</w:t>
            </w:r>
          </w:p>
        </w:tc>
        <w:tc>
          <w:tcPr>
            <w:tcW w:w="1739"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135.45</w:t>
            </w: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2011301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478.62</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478.62</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2011302</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135.45</w:t>
            </w:r>
          </w:p>
        </w:tc>
        <w:tc>
          <w:tcPr>
            <w:tcW w:w="1897"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135.45</w:t>
            </w: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95.26</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95.26</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95.26</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95.26</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11.73</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11.73</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57.71</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57.71</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25.82</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25.82</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210</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卫生健康支出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21001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卫生健康管理事务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2100102</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0.18</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238.14</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238.14</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lastRenderedPageBreak/>
              <w:t>22102</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238.14</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238.14</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72.77</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72.77</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110.41</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110.41</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r w:rsidR="006E1C44">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2210203</w:t>
            </w:r>
          </w:p>
        </w:tc>
        <w:tc>
          <w:tcPr>
            <w:tcW w:w="392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2164"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54.96</w:t>
            </w:r>
          </w:p>
        </w:tc>
        <w:tc>
          <w:tcPr>
            <w:tcW w:w="1897" w:type="dxa"/>
            <w:tcBorders>
              <w:top w:val="single" w:sz="4" w:space="0" w:color="000000"/>
              <w:left w:val="single" w:sz="4" w:space="0" w:color="000000"/>
              <w:bottom w:val="single" w:sz="4" w:space="0" w:color="000000"/>
              <w:right w:val="single" w:sz="4" w:space="0" w:color="000000"/>
            </w:tcBorders>
          </w:tcPr>
          <w:p w:rsidR="006E1C44" w:rsidRDefault="00B46BCC">
            <w:pPr>
              <w:pStyle w:val="TableParagraph"/>
              <w:spacing w:before="30"/>
              <w:ind w:left="107"/>
              <w:jc w:val="right"/>
              <w:rPr>
                <w:rFonts w:ascii="仿宋" w:eastAsia="仿宋" w:hAnsi="仿宋" w:cs="仿宋"/>
              </w:rPr>
            </w:pPr>
            <w:r>
              <w:rPr>
                <w:rFonts w:ascii="仿宋" w:eastAsia="仿宋" w:hAnsi="仿宋" w:cs="仿宋" w:hint="eastAsia"/>
              </w:rPr>
              <w:t>54.96</w:t>
            </w:r>
          </w:p>
        </w:tc>
        <w:tc>
          <w:tcPr>
            <w:tcW w:w="1739"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6E1C44" w:rsidRDefault="006E1C44">
            <w:pPr>
              <w:pStyle w:val="TableParagraph"/>
              <w:spacing w:before="30"/>
              <w:ind w:left="107"/>
              <w:jc w:val="right"/>
              <w:rPr>
                <w:rFonts w:ascii="仿宋" w:eastAsia="仿宋" w:hAnsi="仿宋" w:cs="仿宋"/>
              </w:rPr>
            </w:pPr>
          </w:p>
        </w:tc>
      </w:tr>
    </w:tbl>
    <w:p w:rsidR="006E1C44" w:rsidRDefault="00B46BCC">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6E1C44" w:rsidRDefault="006E1C44">
      <w:pPr>
        <w:spacing w:before="59"/>
        <w:ind w:left="57"/>
        <w:rPr>
          <w:rFonts w:ascii="仿宋" w:eastAsia="仿宋" w:hAnsi="仿宋" w:cs="仿宋"/>
        </w:rPr>
        <w:sectPr w:rsidR="006E1C44">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6E1C44">
        <w:trPr>
          <w:trHeight w:val="319"/>
        </w:trPr>
        <w:tc>
          <w:tcPr>
            <w:tcW w:w="15372" w:type="dxa"/>
            <w:gridSpan w:val="10"/>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6E1C44">
        <w:trPr>
          <w:trHeight w:val="319"/>
        </w:trPr>
        <w:tc>
          <w:tcPr>
            <w:tcW w:w="5562" w:type="dxa"/>
            <w:gridSpan w:val="2"/>
          </w:tcPr>
          <w:p w:rsidR="006E1C44" w:rsidRDefault="006E1C44">
            <w:pPr>
              <w:pStyle w:val="TableParagraph"/>
              <w:rPr>
                <w:rFonts w:ascii="仿宋" w:eastAsia="仿宋" w:hAnsi="仿宋" w:cs="仿宋"/>
                <w:sz w:val="20"/>
              </w:rPr>
            </w:pPr>
          </w:p>
        </w:tc>
        <w:tc>
          <w:tcPr>
            <w:tcW w:w="847" w:type="dxa"/>
          </w:tcPr>
          <w:p w:rsidR="006E1C44" w:rsidRDefault="006E1C44">
            <w:pPr>
              <w:pStyle w:val="TableParagraph"/>
              <w:rPr>
                <w:rFonts w:ascii="仿宋" w:eastAsia="仿宋" w:hAnsi="仿宋" w:cs="仿宋"/>
                <w:sz w:val="20"/>
              </w:rPr>
            </w:pPr>
          </w:p>
        </w:tc>
        <w:tc>
          <w:tcPr>
            <w:tcW w:w="1913" w:type="dxa"/>
          </w:tcPr>
          <w:p w:rsidR="006E1C44" w:rsidRDefault="006E1C44">
            <w:pPr>
              <w:pStyle w:val="TableParagraph"/>
              <w:rPr>
                <w:rFonts w:ascii="仿宋" w:eastAsia="仿宋" w:hAnsi="仿宋" w:cs="仿宋"/>
                <w:sz w:val="20"/>
              </w:rPr>
            </w:pPr>
          </w:p>
        </w:tc>
        <w:tc>
          <w:tcPr>
            <w:tcW w:w="2635" w:type="dxa"/>
            <w:gridSpan w:val="2"/>
          </w:tcPr>
          <w:p w:rsidR="006E1C44" w:rsidRDefault="006E1C44">
            <w:pPr>
              <w:pStyle w:val="TableParagraph"/>
              <w:rPr>
                <w:rFonts w:ascii="仿宋" w:eastAsia="仿宋" w:hAnsi="仿宋" w:cs="仿宋"/>
                <w:sz w:val="20"/>
              </w:rPr>
            </w:pPr>
          </w:p>
        </w:tc>
        <w:tc>
          <w:tcPr>
            <w:tcW w:w="1194" w:type="dxa"/>
          </w:tcPr>
          <w:p w:rsidR="006E1C44" w:rsidRDefault="006E1C44">
            <w:pPr>
              <w:pStyle w:val="TableParagraph"/>
              <w:rPr>
                <w:rFonts w:ascii="仿宋" w:eastAsia="仿宋" w:hAnsi="仿宋" w:cs="仿宋"/>
                <w:sz w:val="20"/>
              </w:rPr>
            </w:pPr>
          </w:p>
        </w:tc>
        <w:tc>
          <w:tcPr>
            <w:tcW w:w="3221" w:type="dxa"/>
            <w:gridSpan w:val="3"/>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6E1C44">
        <w:trPr>
          <w:trHeight w:val="319"/>
        </w:trPr>
        <w:tc>
          <w:tcPr>
            <w:tcW w:w="12151" w:type="dxa"/>
            <w:gridSpan w:val="7"/>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221" w:type="dxa"/>
            <w:gridSpan w:val="3"/>
            <w:vAlign w:val="center"/>
          </w:tcPr>
          <w:p w:rsidR="006E1C44" w:rsidRDefault="00B46BCC">
            <w:pPr>
              <w:pStyle w:val="TableParagraph"/>
              <w:jc w:val="right"/>
              <w:rPr>
                <w:rFonts w:ascii="仿宋" w:eastAsia="仿宋" w:hAnsi="仿宋" w:cs="仿宋"/>
              </w:rPr>
            </w:pPr>
            <w:r>
              <w:rPr>
                <w:rFonts w:ascii="仿宋" w:eastAsia="仿宋" w:hAnsi="仿宋" w:cs="仿宋" w:hint="eastAsia"/>
              </w:rPr>
              <w:t>金额单位：万元</w:t>
            </w:r>
          </w:p>
        </w:tc>
      </w:tr>
      <w:tr w:rsidR="006E1C44">
        <w:trPr>
          <w:trHeight w:val="162"/>
        </w:trPr>
        <w:tc>
          <w:tcPr>
            <w:tcW w:w="5562" w:type="dxa"/>
            <w:gridSpan w:val="2"/>
            <w:tcBorders>
              <w:top w:val="single" w:sz="4" w:space="0" w:color="000000"/>
              <w:left w:val="single" w:sz="4" w:space="0" w:color="000000"/>
              <w:bottom w:val="single" w:sz="4" w:space="0" w:color="000000"/>
            </w:tcBorders>
          </w:tcPr>
          <w:p w:rsidR="006E1C44" w:rsidRDefault="00B46BCC">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6E1C44" w:rsidRDefault="00B46BCC">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6E1C44">
        <w:trPr>
          <w:trHeight w:val="199"/>
        </w:trPr>
        <w:tc>
          <w:tcPr>
            <w:tcW w:w="3725" w:type="dxa"/>
            <w:vMerge w:val="restart"/>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6E1C44" w:rsidRDefault="00B46BCC">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6E1C44" w:rsidRDefault="00B46BCC">
            <w:pPr>
              <w:jc w:val="center"/>
              <w:rPr>
                <w:rFonts w:ascii="仿宋" w:eastAsia="仿宋" w:hAnsi="仿宋" w:cs="仿宋"/>
              </w:rPr>
            </w:pPr>
            <w:r>
              <w:rPr>
                <w:rFonts w:ascii="仿宋" w:eastAsia="仿宋" w:hAnsi="仿宋" w:cs="仿宋" w:hint="eastAsia"/>
              </w:rPr>
              <w:t>决算数</w:t>
            </w:r>
          </w:p>
        </w:tc>
      </w:tr>
      <w:tr w:rsidR="006E1C44">
        <w:trPr>
          <w:trHeight w:val="578"/>
        </w:trPr>
        <w:tc>
          <w:tcPr>
            <w:tcW w:w="3725" w:type="dxa"/>
            <w:vMerge/>
            <w:tcBorders>
              <w:left w:val="single" w:sz="4" w:space="0" w:color="000000"/>
              <w:bottom w:val="single" w:sz="4" w:space="0" w:color="000000"/>
            </w:tcBorders>
          </w:tcPr>
          <w:p w:rsidR="006E1C44" w:rsidRDefault="006E1C44">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6E1C44" w:rsidRDefault="006E1C44">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6E1C44" w:rsidRDefault="006E1C44">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国有资本经营预算财政拨款</w:t>
            </w: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947.81</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614.23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614.23</w:t>
            </w: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二十六、抗</w:t>
            </w:r>
            <w:proofErr w:type="gramStart"/>
            <w:r>
              <w:rPr>
                <w:rFonts w:ascii="仿宋" w:eastAsia="仿宋" w:hAnsi="仿宋" w:cs="仿宋" w:hint="eastAsia"/>
              </w:rPr>
              <w:t>疫</w:t>
            </w:r>
            <w:proofErr w:type="gramEnd"/>
            <w:r>
              <w:rPr>
                <w:rFonts w:ascii="仿宋" w:eastAsia="仿宋" w:hAnsi="仿宋" w:cs="仿宋" w:hint="eastAsia"/>
              </w:rPr>
              <w:t>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hRule="exact" w:val="359"/>
        </w:trPr>
        <w:tc>
          <w:tcPr>
            <w:tcW w:w="3725" w:type="dxa"/>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3667" w:type="dxa"/>
            <w:gridSpan w:val="3"/>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1415" w:type="dxa"/>
            <w:gridSpan w:val="2"/>
            <w:tcBorders>
              <w:top w:val="single" w:sz="4" w:space="0" w:color="000000"/>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1500" w:type="dxa"/>
            <w:tcBorders>
              <w:top w:val="single" w:sz="4" w:space="0" w:color="000000"/>
              <w:left w:val="single" w:sz="4" w:space="0" w:color="000000"/>
              <w:bottom w:val="single" w:sz="4" w:space="0" w:color="000000"/>
            </w:tcBorders>
            <w:vAlign w:val="center"/>
          </w:tcPr>
          <w:p w:rsidR="006E1C44" w:rsidRDefault="006E1C44">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trHeight w:val="242"/>
        </w:trPr>
        <w:tc>
          <w:tcPr>
            <w:tcW w:w="3725"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42"/>
        </w:trPr>
        <w:tc>
          <w:tcPr>
            <w:tcW w:w="3725"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6E1C44" w:rsidRDefault="006E1C44">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42"/>
        </w:trPr>
        <w:tc>
          <w:tcPr>
            <w:tcW w:w="3725"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6E1C44" w:rsidRDefault="006E1C44">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trHeight w:val="242"/>
        </w:trPr>
        <w:tc>
          <w:tcPr>
            <w:tcW w:w="3725"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6E1C44" w:rsidRDefault="006E1C44">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hRule="exact" w:val="322"/>
        </w:trPr>
        <w:tc>
          <w:tcPr>
            <w:tcW w:w="3725"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3667" w:type="dxa"/>
            <w:gridSpan w:val="3"/>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1415" w:type="dxa"/>
            <w:gridSpan w:val="2"/>
            <w:tcBorders>
              <w:left w:val="single" w:sz="4" w:space="0" w:color="000000"/>
              <w:bottom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947.81</w:t>
            </w:r>
          </w:p>
        </w:tc>
        <w:tc>
          <w:tcPr>
            <w:tcW w:w="1500" w:type="dxa"/>
            <w:tcBorders>
              <w:left w:val="single" w:sz="4" w:space="0" w:color="000000"/>
              <w:bottom w:val="single" w:sz="4" w:space="0" w:color="000000"/>
            </w:tcBorders>
            <w:vAlign w:val="center"/>
          </w:tcPr>
          <w:p w:rsidR="006E1C44" w:rsidRDefault="006E1C44">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bl>
    <w:p w:rsidR="006E1C44" w:rsidRDefault="00B46BCC">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w:t>
      </w:r>
      <w:r>
        <w:rPr>
          <w:rFonts w:ascii="仿宋" w:eastAsia="仿宋" w:hAnsi="仿宋" w:cs="仿宋" w:hint="eastAsia"/>
        </w:rPr>
        <w:t>本表金额单位转换时可能存在尾数误差。</w:t>
      </w:r>
    </w:p>
    <w:p w:rsidR="006E1C44" w:rsidRDefault="006E1C44">
      <w:pPr>
        <w:jc w:val="both"/>
        <w:rPr>
          <w:rFonts w:ascii="仿宋" w:eastAsia="仿宋" w:hAnsi="仿宋" w:cs="仿宋"/>
        </w:rPr>
        <w:sectPr w:rsidR="006E1C44">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6E1C44">
        <w:trPr>
          <w:trHeight w:val="321"/>
        </w:trPr>
        <w:tc>
          <w:tcPr>
            <w:tcW w:w="15417" w:type="dxa"/>
            <w:gridSpan w:val="5"/>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6E1C44">
        <w:trPr>
          <w:trHeight w:val="321"/>
        </w:trPr>
        <w:tc>
          <w:tcPr>
            <w:tcW w:w="6300" w:type="dxa"/>
            <w:gridSpan w:val="2"/>
          </w:tcPr>
          <w:p w:rsidR="006E1C44" w:rsidRDefault="006E1C44">
            <w:pPr>
              <w:pStyle w:val="TableParagraph"/>
              <w:rPr>
                <w:rFonts w:ascii="仿宋" w:eastAsia="仿宋" w:hAnsi="仿宋" w:cs="仿宋"/>
                <w:sz w:val="20"/>
              </w:rPr>
            </w:pPr>
          </w:p>
        </w:tc>
        <w:tc>
          <w:tcPr>
            <w:tcW w:w="3184" w:type="dxa"/>
          </w:tcPr>
          <w:p w:rsidR="006E1C44" w:rsidRDefault="006E1C44">
            <w:pPr>
              <w:pStyle w:val="TableParagraph"/>
              <w:rPr>
                <w:rFonts w:ascii="仿宋" w:eastAsia="仿宋" w:hAnsi="仿宋" w:cs="仿宋"/>
                <w:sz w:val="27"/>
              </w:rPr>
            </w:pPr>
          </w:p>
        </w:tc>
        <w:tc>
          <w:tcPr>
            <w:tcW w:w="5933" w:type="dxa"/>
            <w:gridSpan w:val="2"/>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6E1C44">
        <w:trPr>
          <w:trHeight w:val="288"/>
        </w:trPr>
        <w:tc>
          <w:tcPr>
            <w:tcW w:w="6300" w:type="dxa"/>
            <w:gridSpan w:val="2"/>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184" w:type="dxa"/>
          </w:tcPr>
          <w:p w:rsidR="006E1C44" w:rsidRDefault="006E1C44">
            <w:pPr>
              <w:pStyle w:val="TableParagraph"/>
              <w:rPr>
                <w:rFonts w:ascii="仿宋" w:eastAsia="仿宋" w:hAnsi="仿宋" w:cs="仿宋"/>
                <w:sz w:val="27"/>
              </w:rPr>
            </w:pPr>
          </w:p>
        </w:tc>
        <w:tc>
          <w:tcPr>
            <w:tcW w:w="2778" w:type="dxa"/>
            <w:vAlign w:val="center"/>
          </w:tcPr>
          <w:p w:rsidR="006E1C44" w:rsidRDefault="006E1C44">
            <w:pPr>
              <w:pStyle w:val="TableParagraph"/>
              <w:jc w:val="right"/>
              <w:rPr>
                <w:rFonts w:ascii="仿宋" w:eastAsia="仿宋" w:hAnsi="仿宋" w:cs="仿宋"/>
                <w:sz w:val="27"/>
              </w:rPr>
            </w:pPr>
          </w:p>
        </w:tc>
        <w:tc>
          <w:tcPr>
            <w:tcW w:w="3155"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金额单位：万元</w:t>
            </w:r>
          </w:p>
        </w:tc>
      </w:tr>
      <w:tr w:rsidR="006E1C44">
        <w:trPr>
          <w:trHeight w:val="319"/>
        </w:trPr>
        <w:tc>
          <w:tcPr>
            <w:tcW w:w="6300" w:type="dxa"/>
            <w:gridSpan w:val="2"/>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项目支出</w:t>
            </w:r>
          </w:p>
        </w:tc>
      </w:tr>
      <w:tr w:rsidR="006E1C44">
        <w:trPr>
          <w:trHeight w:val="341"/>
        </w:trPr>
        <w:tc>
          <w:tcPr>
            <w:tcW w:w="1278"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w:t>
            </w:r>
          </w:p>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6E1C44" w:rsidRDefault="006E1C44">
            <w:pPr>
              <w:rPr>
                <w:rFonts w:ascii="仿宋" w:eastAsia="仿宋" w:hAnsi="仿宋" w:cs="仿宋"/>
              </w:rPr>
            </w:pPr>
          </w:p>
        </w:tc>
        <w:tc>
          <w:tcPr>
            <w:tcW w:w="2778" w:type="dxa"/>
            <w:vMerge/>
            <w:tcBorders>
              <w:left w:val="single" w:sz="6" w:space="0" w:color="000000"/>
              <w:bottom w:val="single" w:sz="6" w:space="0" w:color="000000"/>
            </w:tcBorders>
          </w:tcPr>
          <w:p w:rsidR="006E1C44" w:rsidRDefault="006E1C44">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6E1C44" w:rsidRDefault="006E1C44">
            <w:pPr>
              <w:rPr>
                <w:rFonts w:ascii="仿宋" w:eastAsia="仿宋" w:hAnsi="仿宋" w:cs="仿宋"/>
              </w:rPr>
            </w:pPr>
          </w:p>
        </w:tc>
      </w:tr>
      <w:tr w:rsidR="006E1C44">
        <w:trPr>
          <w:trHeight w:val="275"/>
        </w:trPr>
        <w:tc>
          <w:tcPr>
            <w:tcW w:w="6300" w:type="dxa"/>
            <w:gridSpan w:val="2"/>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3</w:t>
            </w:r>
          </w:p>
        </w:tc>
      </w:tr>
      <w:tr w:rsidR="006E1C44">
        <w:trPr>
          <w:trHeight w:hRule="exact" w:val="374"/>
        </w:trPr>
        <w:tc>
          <w:tcPr>
            <w:tcW w:w="6300" w:type="dxa"/>
            <w:gridSpan w:val="2"/>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6E1C44" w:rsidRDefault="00B46BCC">
            <w:pPr>
              <w:pStyle w:val="TableParagraph"/>
              <w:jc w:val="right"/>
              <w:rPr>
                <w:rFonts w:ascii="仿宋" w:eastAsia="仿宋" w:hAnsi="仿宋" w:cs="仿宋"/>
              </w:rPr>
            </w:pPr>
            <w:r>
              <w:rPr>
                <w:rFonts w:ascii="仿宋" w:eastAsia="仿宋" w:hAnsi="仿宋" w:cs="仿宋" w:hint="eastAsia"/>
              </w:rPr>
              <w:t>947.81</w:t>
            </w:r>
          </w:p>
        </w:tc>
        <w:tc>
          <w:tcPr>
            <w:tcW w:w="2778" w:type="dxa"/>
            <w:tcBorders>
              <w:left w:val="single" w:sz="6" w:space="0" w:color="000000"/>
              <w:bottom w:val="single" w:sz="6" w:space="0" w:color="000000"/>
            </w:tcBorders>
          </w:tcPr>
          <w:p w:rsidR="006E1C44" w:rsidRDefault="00B46BCC">
            <w:pPr>
              <w:pStyle w:val="TableParagraph"/>
              <w:jc w:val="right"/>
              <w:rPr>
                <w:rFonts w:ascii="仿宋" w:eastAsia="仿宋" w:hAnsi="仿宋" w:cs="仿宋"/>
              </w:rPr>
            </w:pPr>
            <w:r>
              <w:rPr>
                <w:rFonts w:ascii="仿宋" w:eastAsia="仿宋" w:hAnsi="仿宋" w:cs="仿宋" w:hint="eastAsia"/>
              </w:rPr>
              <w:t>812.20</w:t>
            </w:r>
          </w:p>
        </w:tc>
        <w:tc>
          <w:tcPr>
            <w:tcW w:w="3155" w:type="dxa"/>
            <w:tcBorders>
              <w:left w:val="single" w:sz="6" w:space="0" w:color="000000"/>
              <w:bottom w:val="single" w:sz="6" w:space="0" w:color="000000"/>
              <w:right w:val="single" w:sz="6" w:space="0" w:color="000000"/>
            </w:tcBorders>
          </w:tcPr>
          <w:p w:rsidR="006E1C44" w:rsidRDefault="00B46BCC">
            <w:pPr>
              <w:pStyle w:val="TableParagraph"/>
              <w:jc w:val="right"/>
              <w:rPr>
                <w:rFonts w:ascii="仿宋" w:eastAsia="仿宋" w:hAnsi="仿宋" w:cs="仿宋"/>
              </w:rPr>
            </w:pPr>
            <w:r>
              <w:rPr>
                <w:rFonts w:ascii="仿宋" w:eastAsia="仿宋" w:hAnsi="仿宋" w:cs="仿宋" w:hint="eastAsia"/>
              </w:rPr>
              <w:t>135.61</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614.23</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135.61</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2010302</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614.07</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2011302</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11.73</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11.73</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卫生健康支出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卫生健康管理事务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2100102</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110.41</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110.41</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2210203</w:t>
            </w:r>
          </w:p>
        </w:tc>
        <w:tc>
          <w:tcPr>
            <w:tcW w:w="5022"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54.96</w:t>
            </w:r>
          </w:p>
        </w:tc>
        <w:tc>
          <w:tcPr>
            <w:tcW w:w="2778" w:type="dxa"/>
            <w:tcBorders>
              <w:top w:val="single" w:sz="6" w:space="0" w:color="000000"/>
              <w:left w:val="single" w:sz="4" w:space="0" w:color="000000"/>
              <w:bottom w:val="single" w:sz="6"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54.96</w:t>
            </w:r>
          </w:p>
        </w:tc>
        <w:tc>
          <w:tcPr>
            <w:tcW w:w="3155" w:type="dxa"/>
            <w:tcBorders>
              <w:top w:val="single" w:sz="6" w:space="0" w:color="000000"/>
              <w:left w:val="single" w:sz="4"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bl>
    <w:p w:rsidR="006E1C44" w:rsidRDefault="00B46BCC">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6E1C44" w:rsidRDefault="006E1C44">
      <w:pPr>
        <w:tabs>
          <w:tab w:val="left" w:pos="55"/>
        </w:tabs>
        <w:jc w:val="both"/>
        <w:rPr>
          <w:rFonts w:ascii="仿宋" w:eastAsia="仿宋" w:hAnsi="仿宋" w:cs="仿宋"/>
        </w:rPr>
        <w:sectPr w:rsidR="006E1C44">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6E1C44">
        <w:trPr>
          <w:trHeight w:val="319"/>
        </w:trPr>
        <w:tc>
          <w:tcPr>
            <w:tcW w:w="10515" w:type="dxa"/>
            <w:gridSpan w:val="5"/>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6E1C44">
        <w:trPr>
          <w:trHeight w:val="319"/>
        </w:trPr>
        <w:tc>
          <w:tcPr>
            <w:tcW w:w="4532" w:type="dxa"/>
            <w:gridSpan w:val="2"/>
          </w:tcPr>
          <w:p w:rsidR="006E1C44" w:rsidRDefault="006E1C44">
            <w:pPr>
              <w:pStyle w:val="TableParagraph"/>
              <w:rPr>
                <w:rFonts w:ascii="仿宋" w:eastAsia="仿宋" w:hAnsi="仿宋" w:cs="仿宋"/>
                <w:sz w:val="20"/>
              </w:rPr>
            </w:pPr>
          </w:p>
        </w:tc>
        <w:tc>
          <w:tcPr>
            <w:tcW w:w="2047" w:type="dxa"/>
          </w:tcPr>
          <w:p w:rsidR="006E1C44" w:rsidRDefault="006E1C44">
            <w:pPr>
              <w:pStyle w:val="TableParagraph"/>
              <w:rPr>
                <w:rFonts w:ascii="仿宋" w:eastAsia="仿宋" w:hAnsi="仿宋" w:cs="仿宋"/>
                <w:sz w:val="20"/>
              </w:rPr>
            </w:pPr>
          </w:p>
        </w:tc>
        <w:tc>
          <w:tcPr>
            <w:tcW w:w="2040" w:type="dxa"/>
          </w:tcPr>
          <w:p w:rsidR="006E1C44" w:rsidRDefault="006E1C44">
            <w:pPr>
              <w:pStyle w:val="TableParagraph"/>
              <w:rPr>
                <w:rFonts w:ascii="仿宋" w:eastAsia="仿宋" w:hAnsi="仿宋" w:cs="仿宋"/>
                <w:sz w:val="20"/>
              </w:rPr>
            </w:pPr>
          </w:p>
        </w:tc>
        <w:tc>
          <w:tcPr>
            <w:tcW w:w="1896" w:type="dxa"/>
            <w:vAlign w:val="center"/>
          </w:tcPr>
          <w:p w:rsidR="006E1C44" w:rsidRDefault="00B46BCC">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6E1C44">
        <w:trPr>
          <w:trHeight w:val="319"/>
        </w:trPr>
        <w:tc>
          <w:tcPr>
            <w:tcW w:w="8619" w:type="dxa"/>
            <w:gridSpan w:val="4"/>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1896" w:type="dxa"/>
            <w:vAlign w:val="center"/>
          </w:tcPr>
          <w:p w:rsidR="006E1C44" w:rsidRDefault="00B46BCC">
            <w:pPr>
              <w:pStyle w:val="TableParagraph"/>
              <w:jc w:val="right"/>
              <w:rPr>
                <w:rFonts w:ascii="仿宋" w:eastAsia="仿宋" w:hAnsi="仿宋" w:cs="仿宋"/>
                <w:sz w:val="20"/>
              </w:rPr>
            </w:pPr>
            <w:r>
              <w:rPr>
                <w:rFonts w:ascii="仿宋" w:eastAsia="仿宋" w:hAnsi="仿宋" w:cs="仿宋" w:hint="eastAsia"/>
              </w:rPr>
              <w:t>金额单位：万元</w:t>
            </w:r>
          </w:p>
        </w:tc>
      </w:tr>
      <w:tr w:rsidR="006E1C44">
        <w:trPr>
          <w:trHeight w:val="243"/>
        </w:trPr>
        <w:tc>
          <w:tcPr>
            <w:tcW w:w="4532"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财政拨款基本支出</w:t>
            </w:r>
          </w:p>
        </w:tc>
      </w:tr>
      <w:tr w:rsidR="006E1C44">
        <w:trPr>
          <w:trHeight w:val="483"/>
        </w:trPr>
        <w:tc>
          <w:tcPr>
            <w:tcW w:w="99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公用经费</w:t>
            </w:r>
          </w:p>
        </w:tc>
      </w:tr>
      <w:tr w:rsidR="006E1C44">
        <w:trPr>
          <w:trHeight w:hRule="exact" w:val="409"/>
        </w:trPr>
        <w:tc>
          <w:tcPr>
            <w:tcW w:w="4532"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812.20</w:t>
            </w:r>
          </w:p>
        </w:tc>
        <w:tc>
          <w:tcPr>
            <w:tcW w:w="2040"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759.86</w:t>
            </w:r>
          </w:p>
        </w:tc>
        <w:tc>
          <w:tcPr>
            <w:tcW w:w="1896"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709.06</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709.06</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77.43</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77.43</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283.47</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283.47</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150.83</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150.83</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17.89</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17.89</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1.62</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1.62</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21.51</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21.51</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2.39</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2.39</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咨询费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3.57</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3.57</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15.32</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15.32</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12.00</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12.00</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1.57</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1.57</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4.01</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4.01</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0.10</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0.10</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13.38</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13.38</w:t>
            </w: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50.81</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50.81</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48.00</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48.00</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2.80</w:t>
            </w: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2.80</w:t>
            </w: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bl>
    <w:p w:rsidR="006E1C44" w:rsidRDefault="00B46BCC">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6E1C44" w:rsidRDefault="006E1C44">
      <w:pPr>
        <w:spacing w:line="255" w:lineRule="exact"/>
        <w:jc w:val="both"/>
        <w:rPr>
          <w:rFonts w:ascii="仿宋" w:eastAsia="仿宋" w:hAnsi="仿宋" w:cs="仿宋"/>
        </w:rPr>
        <w:sectPr w:rsidR="006E1C44">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6E1C44">
        <w:trPr>
          <w:trHeight w:val="560"/>
        </w:trPr>
        <w:tc>
          <w:tcPr>
            <w:tcW w:w="10446" w:type="dxa"/>
            <w:gridSpan w:val="5"/>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6E1C44">
        <w:trPr>
          <w:trHeight w:val="147"/>
        </w:trPr>
        <w:tc>
          <w:tcPr>
            <w:tcW w:w="5466" w:type="dxa"/>
            <w:gridSpan w:val="2"/>
          </w:tcPr>
          <w:p w:rsidR="006E1C44" w:rsidRDefault="006E1C44">
            <w:pPr>
              <w:pStyle w:val="TableParagraph"/>
              <w:rPr>
                <w:rFonts w:ascii="仿宋" w:eastAsia="仿宋" w:hAnsi="仿宋" w:cs="仿宋"/>
                <w:sz w:val="20"/>
              </w:rPr>
            </w:pPr>
          </w:p>
        </w:tc>
        <w:tc>
          <w:tcPr>
            <w:tcW w:w="1969" w:type="dxa"/>
          </w:tcPr>
          <w:p w:rsidR="006E1C44" w:rsidRDefault="006E1C44">
            <w:pPr>
              <w:pStyle w:val="TableParagraph"/>
              <w:rPr>
                <w:rFonts w:ascii="仿宋" w:eastAsia="仿宋" w:hAnsi="仿宋" w:cs="仿宋"/>
                <w:sz w:val="20"/>
              </w:rPr>
            </w:pPr>
          </w:p>
        </w:tc>
        <w:tc>
          <w:tcPr>
            <w:tcW w:w="1499" w:type="dxa"/>
          </w:tcPr>
          <w:p w:rsidR="006E1C44" w:rsidRDefault="006E1C44">
            <w:pPr>
              <w:pStyle w:val="TableParagraph"/>
              <w:rPr>
                <w:rFonts w:ascii="仿宋" w:eastAsia="仿宋" w:hAnsi="仿宋" w:cs="仿宋"/>
                <w:sz w:val="20"/>
              </w:rPr>
            </w:pPr>
          </w:p>
        </w:tc>
        <w:tc>
          <w:tcPr>
            <w:tcW w:w="1512" w:type="dxa"/>
            <w:vAlign w:val="center"/>
          </w:tcPr>
          <w:p w:rsidR="006E1C44" w:rsidRDefault="00B46BCC">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6E1C44">
        <w:trPr>
          <w:trHeight w:val="303"/>
        </w:trPr>
        <w:tc>
          <w:tcPr>
            <w:tcW w:w="7435" w:type="dxa"/>
            <w:gridSpan w:val="3"/>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011" w:type="dxa"/>
            <w:gridSpan w:val="2"/>
          </w:tcPr>
          <w:p w:rsidR="006E1C44" w:rsidRDefault="00B46BCC">
            <w:pPr>
              <w:pStyle w:val="TableParagraph"/>
              <w:jc w:val="right"/>
              <w:rPr>
                <w:rFonts w:ascii="仿宋" w:eastAsia="仿宋" w:hAnsi="仿宋" w:cs="仿宋"/>
              </w:rPr>
            </w:pPr>
            <w:r>
              <w:rPr>
                <w:rFonts w:ascii="仿宋" w:eastAsia="仿宋" w:hAnsi="仿宋" w:cs="仿宋" w:hint="eastAsia"/>
              </w:rPr>
              <w:t>金额单位：万元</w:t>
            </w:r>
          </w:p>
        </w:tc>
      </w:tr>
      <w:tr w:rsidR="006E1C44">
        <w:trPr>
          <w:trHeight w:val="158"/>
        </w:trPr>
        <w:tc>
          <w:tcPr>
            <w:tcW w:w="5466" w:type="dxa"/>
            <w:gridSpan w:val="2"/>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项目支出</w:t>
            </w:r>
          </w:p>
        </w:tc>
      </w:tr>
      <w:tr w:rsidR="006E1C44">
        <w:trPr>
          <w:trHeight w:val="561"/>
        </w:trPr>
        <w:tc>
          <w:tcPr>
            <w:tcW w:w="1134"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6E1C44" w:rsidRDefault="006E1C44">
            <w:pPr>
              <w:rPr>
                <w:rFonts w:ascii="仿宋" w:eastAsia="仿宋" w:hAnsi="仿宋" w:cs="仿宋"/>
                <w:sz w:val="2"/>
                <w:szCs w:val="2"/>
              </w:rPr>
            </w:pPr>
          </w:p>
        </w:tc>
        <w:tc>
          <w:tcPr>
            <w:tcW w:w="1499" w:type="dxa"/>
            <w:vMerge/>
            <w:tcBorders>
              <w:left w:val="single" w:sz="6" w:space="0" w:color="000000"/>
              <w:bottom w:val="single" w:sz="6" w:space="0" w:color="000000"/>
            </w:tcBorders>
          </w:tcPr>
          <w:p w:rsidR="006E1C44" w:rsidRDefault="006E1C44">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6E1C44" w:rsidRDefault="006E1C44">
            <w:pPr>
              <w:rPr>
                <w:rFonts w:ascii="仿宋" w:eastAsia="仿宋" w:hAnsi="仿宋" w:cs="仿宋"/>
                <w:sz w:val="2"/>
                <w:szCs w:val="2"/>
              </w:rPr>
            </w:pPr>
          </w:p>
        </w:tc>
      </w:tr>
      <w:tr w:rsidR="006E1C44">
        <w:trPr>
          <w:trHeight w:val="152"/>
        </w:trPr>
        <w:tc>
          <w:tcPr>
            <w:tcW w:w="5466" w:type="dxa"/>
            <w:gridSpan w:val="2"/>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3</w:t>
            </w:r>
          </w:p>
        </w:tc>
      </w:tr>
      <w:tr w:rsidR="006E1C44">
        <w:trPr>
          <w:trHeight w:hRule="exact" w:val="298"/>
        </w:trPr>
        <w:tc>
          <w:tcPr>
            <w:tcW w:w="5466" w:type="dxa"/>
            <w:gridSpan w:val="2"/>
            <w:tcBorders>
              <w:left w:val="single" w:sz="6" w:space="0" w:color="000000"/>
              <w:bottom w:val="single" w:sz="6"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947.81</w:t>
            </w:r>
          </w:p>
        </w:tc>
        <w:tc>
          <w:tcPr>
            <w:tcW w:w="1499" w:type="dxa"/>
            <w:tcBorders>
              <w:left w:val="single" w:sz="6" w:space="0" w:color="000000"/>
              <w:bottom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812.20</w:t>
            </w:r>
          </w:p>
        </w:tc>
        <w:tc>
          <w:tcPr>
            <w:tcW w:w="1512" w:type="dxa"/>
            <w:tcBorders>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135.61</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614.23</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135.61</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0.16</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614.07</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478.62</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2011302</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135.45</w:t>
            </w: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95.26</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11.73</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11.73</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卫生健康支出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卫生健康管理事务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2100102</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0.18</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238.14</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110.41</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110.41</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2210203</w:t>
            </w:r>
          </w:p>
        </w:tc>
        <w:tc>
          <w:tcPr>
            <w:tcW w:w="4332"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54.96</w:t>
            </w:r>
          </w:p>
        </w:tc>
        <w:tc>
          <w:tcPr>
            <w:tcW w:w="1499" w:type="dxa"/>
            <w:tcBorders>
              <w:top w:val="single" w:sz="6" w:space="0" w:color="000000"/>
              <w:left w:val="single" w:sz="6" w:space="0" w:color="000000"/>
              <w:bottom w:val="single" w:sz="6" w:space="0" w:color="000000"/>
              <w:right w:val="single" w:sz="6"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54.96</w:t>
            </w:r>
          </w:p>
        </w:tc>
        <w:tc>
          <w:tcPr>
            <w:tcW w:w="1512" w:type="dxa"/>
            <w:tcBorders>
              <w:top w:val="single" w:sz="6" w:space="0" w:color="000000"/>
              <w:left w:val="single" w:sz="6" w:space="0" w:color="000000"/>
              <w:bottom w:val="single" w:sz="6" w:space="0" w:color="000000"/>
              <w:right w:val="single" w:sz="6" w:space="0" w:color="000000"/>
            </w:tcBorders>
            <w:vAlign w:val="center"/>
          </w:tcPr>
          <w:p w:rsidR="006E1C44" w:rsidRDefault="006E1C44">
            <w:pPr>
              <w:pStyle w:val="TableParagraph"/>
              <w:jc w:val="right"/>
              <w:rPr>
                <w:rFonts w:ascii="仿宋" w:eastAsia="仿宋" w:hAnsi="仿宋" w:cs="仿宋"/>
              </w:rPr>
            </w:pPr>
          </w:p>
        </w:tc>
      </w:tr>
    </w:tbl>
    <w:p w:rsidR="006E1C44" w:rsidRDefault="00B46BCC">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6E1C44" w:rsidRDefault="006E1C44">
      <w:pPr>
        <w:spacing w:before="25"/>
        <w:jc w:val="both"/>
        <w:rPr>
          <w:rFonts w:ascii="仿宋" w:eastAsia="仿宋" w:hAnsi="仿宋" w:cs="仿宋"/>
        </w:rPr>
        <w:sectPr w:rsidR="006E1C44">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6E1C44">
        <w:trPr>
          <w:trHeight w:val="319"/>
        </w:trPr>
        <w:tc>
          <w:tcPr>
            <w:tcW w:w="10473" w:type="dxa"/>
            <w:gridSpan w:val="5"/>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6E1C44">
        <w:trPr>
          <w:trHeight w:val="199"/>
        </w:trPr>
        <w:tc>
          <w:tcPr>
            <w:tcW w:w="8595" w:type="dxa"/>
            <w:gridSpan w:val="4"/>
            <w:vAlign w:val="center"/>
          </w:tcPr>
          <w:p w:rsidR="006E1C44" w:rsidRDefault="006E1C44">
            <w:pPr>
              <w:pStyle w:val="TableParagraph"/>
              <w:jc w:val="right"/>
              <w:rPr>
                <w:rFonts w:ascii="仿宋" w:eastAsia="仿宋" w:hAnsi="仿宋" w:cs="仿宋"/>
                <w:color w:val="000000"/>
              </w:rPr>
            </w:pPr>
          </w:p>
        </w:tc>
        <w:tc>
          <w:tcPr>
            <w:tcW w:w="1878" w:type="dxa"/>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6E1C44">
        <w:trPr>
          <w:trHeight w:val="320"/>
        </w:trPr>
        <w:tc>
          <w:tcPr>
            <w:tcW w:w="8595" w:type="dxa"/>
            <w:gridSpan w:val="4"/>
            <w:vAlign w:val="center"/>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1878" w:type="dxa"/>
            <w:vAlign w:val="center"/>
          </w:tcPr>
          <w:p w:rsidR="006E1C44" w:rsidRDefault="00B46BCC">
            <w:pPr>
              <w:pStyle w:val="TableParagraph"/>
              <w:jc w:val="right"/>
              <w:rPr>
                <w:rFonts w:ascii="仿宋" w:eastAsia="仿宋" w:hAnsi="仿宋" w:cs="仿宋"/>
                <w:sz w:val="20"/>
              </w:rPr>
            </w:pPr>
            <w:r>
              <w:rPr>
                <w:rFonts w:ascii="仿宋" w:eastAsia="仿宋" w:hAnsi="仿宋" w:cs="仿宋" w:hint="eastAsia"/>
              </w:rPr>
              <w:t>金额单位：万元</w:t>
            </w:r>
          </w:p>
        </w:tc>
      </w:tr>
      <w:tr w:rsidR="006E1C44">
        <w:trPr>
          <w:trHeight w:val="180"/>
        </w:trPr>
        <w:tc>
          <w:tcPr>
            <w:tcW w:w="4687"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6E1C44">
        <w:trPr>
          <w:trHeight w:val="474"/>
        </w:trPr>
        <w:tc>
          <w:tcPr>
            <w:tcW w:w="1121"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公用经费</w:t>
            </w:r>
          </w:p>
        </w:tc>
      </w:tr>
      <w:tr w:rsidR="006E1C44">
        <w:trPr>
          <w:trHeight w:hRule="exact" w:val="394"/>
        </w:trPr>
        <w:tc>
          <w:tcPr>
            <w:tcW w:w="4687"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812.20</w:t>
            </w:r>
          </w:p>
        </w:tc>
        <w:tc>
          <w:tcPr>
            <w:tcW w:w="1708"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759.86</w:t>
            </w:r>
          </w:p>
        </w:tc>
        <w:tc>
          <w:tcPr>
            <w:tcW w:w="1878"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709.06</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709.06</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77.43</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77.43</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283.47</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283.47</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150.83</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150.83</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57.71</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25.82</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17.89</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17.89</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1.62</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1.62</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72.77</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21.51</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21.51</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2.39</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2.39</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咨询费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3.57</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3.57</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15.32</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15.32</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12.00</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12.00</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1.57</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1.57</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4.01</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4.01</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0.10</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0.10</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13.38</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13.38</w:t>
            </w: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50.81</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50.81</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48.00</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48.00</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2.80</w:t>
            </w: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2.80</w:t>
            </w: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bl>
    <w:p w:rsidR="006E1C44" w:rsidRDefault="00B46BCC">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6E1C44" w:rsidRDefault="006E1C44">
      <w:pPr>
        <w:spacing w:before="25"/>
        <w:jc w:val="both"/>
        <w:rPr>
          <w:rFonts w:ascii="仿宋" w:eastAsia="仿宋" w:hAnsi="仿宋" w:cs="仿宋"/>
        </w:rPr>
        <w:sectPr w:rsidR="006E1C44">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6E1C44">
        <w:trPr>
          <w:trHeight w:val="321"/>
        </w:trPr>
        <w:tc>
          <w:tcPr>
            <w:tcW w:w="16486" w:type="dxa"/>
            <w:gridSpan w:val="16"/>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bookmarkStart w:id="0" w:name="_GoBack"/>
            <w:bookmarkEnd w:id="0"/>
            <w:r>
              <w:rPr>
                <w:rFonts w:hint="eastAsia"/>
                <w:b/>
                <w:bCs/>
                <w:color w:val="000000"/>
                <w:sz w:val="36"/>
                <w:szCs w:val="36"/>
                <w:lang w:eastAsia="ar-SA"/>
              </w:rPr>
              <w:t>培训费支出决算表</w:t>
            </w:r>
          </w:p>
        </w:tc>
      </w:tr>
      <w:tr w:rsidR="006E1C44">
        <w:trPr>
          <w:trHeight w:val="207"/>
        </w:trPr>
        <w:tc>
          <w:tcPr>
            <w:tcW w:w="16486" w:type="dxa"/>
            <w:gridSpan w:val="16"/>
          </w:tcPr>
          <w:p w:rsidR="006E1C44" w:rsidRDefault="00B46BCC">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6E1C44">
        <w:trPr>
          <w:trHeight w:val="103"/>
        </w:trPr>
        <w:tc>
          <w:tcPr>
            <w:tcW w:w="8212" w:type="dxa"/>
            <w:gridSpan w:val="8"/>
            <w:tcBorders>
              <w:bottom w:val="single" w:sz="4" w:space="0" w:color="auto"/>
            </w:tcBorders>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8274" w:type="dxa"/>
            <w:gridSpan w:val="8"/>
            <w:tcBorders>
              <w:bottom w:val="single" w:sz="4" w:space="0" w:color="auto"/>
            </w:tcBorders>
          </w:tcPr>
          <w:p w:rsidR="006E1C44" w:rsidRDefault="00B46BCC">
            <w:pPr>
              <w:pStyle w:val="TableParagraph"/>
              <w:jc w:val="right"/>
              <w:rPr>
                <w:rFonts w:ascii="仿宋" w:eastAsia="仿宋" w:hAnsi="仿宋" w:cs="仿宋"/>
              </w:rPr>
            </w:pPr>
            <w:r>
              <w:rPr>
                <w:rFonts w:ascii="仿宋" w:eastAsia="仿宋" w:hAnsi="仿宋" w:cs="仿宋" w:hint="eastAsia"/>
              </w:rPr>
              <w:t>金额单位：万元</w:t>
            </w:r>
          </w:p>
        </w:tc>
      </w:tr>
      <w:tr w:rsidR="006E1C44">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6E1C44" w:rsidRDefault="00B46BCC">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6E1C44" w:rsidRDefault="00B46BCC">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6E1C44">
        <w:trPr>
          <w:trHeight w:val="179"/>
        </w:trPr>
        <w:tc>
          <w:tcPr>
            <w:tcW w:w="6159" w:type="dxa"/>
            <w:gridSpan w:val="6"/>
            <w:tcBorders>
              <w:top w:val="single" w:sz="4" w:space="0" w:color="auto"/>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培训费</w:t>
            </w:r>
          </w:p>
        </w:tc>
      </w:tr>
      <w:tr w:rsidR="006E1C44">
        <w:trPr>
          <w:trHeight w:val="297"/>
        </w:trPr>
        <w:tc>
          <w:tcPr>
            <w:tcW w:w="1044" w:type="dxa"/>
            <w:vMerge w:val="restart"/>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w:t>
            </w:r>
          </w:p>
          <w:p w:rsidR="006E1C44" w:rsidRDefault="00B46BCC">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6E1C44" w:rsidRDefault="006E1C44">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6E1C44" w:rsidRDefault="006E1C44">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w:t>
            </w:r>
          </w:p>
          <w:p w:rsidR="006E1C44" w:rsidRDefault="00B46BCC">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6E1C44" w:rsidRDefault="006E1C44">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6E1C44" w:rsidRDefault="006E1C44">
            <w:pPr>
              <w:jc w:val="center"/>
              <w:rPr>
                <w:rFonts w:ascii="仿宋" w:eastAsia="仿宋" w:hAnsi="仿宋" w:cs="仿宋"/>
                <w:sz w:val="20"/>
              </w:rPr>
            </w:pPr>
          </w:p>
        </w:tc>
      </w:tr>
      <w:tr w:rsidR="006E1C44">
        <w:trPr>
          <w:trHeight w:hRule="exact" w:val="621"/>
        </w:trPr>
        <w:tc>
          <w:tcPr>
            <w:tcW w:w="1044" w:type="dxa"/>
            <w:vMerge/>
            <w:tcBorders>
              <w:left w:val="single" w:sz="4" w:space="0" w:color="000000"/>
              <w:bottom w:val="single" w:sz="4" w:space="0" w:color="000000"/>
            </w:tcBorders>
          </w:tcPr>
          <w:p w:rsidR="006E1C44" w:rsidRDefault="006E1C44">
            <w:pPr>
              <w:rPr>
                <w:rFonts w:ascii="仿宋" w:eastAsia="仿宋" w:hAnsi="仿宋" w:cs="仿宋"/>
                <w:sz w:val="2"/>
                <w:szCs w:val="2"/>
              </w:rPr>
            </w:pPr>
          </w:p>
        </w:tc>
        <w:tc>
          <w:tcPr>
            <w:tcW w:w="1042" w:type="dxa"/>
            <w:vMerge/>
            <w:tcBorders>
              <w:left w:val="single" w:sz="4" w:space="0" w:color="000000"/>
              <w:bottom w:val="single" w:sz="4" w:space="0" w:color="000000"/>
            </w:tcBorders>
          </w:tcPr>
          <w:p w:rsidR="006E1C44" w:rsidRDefault="006E1C44">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6E1C44" w:rsidRDefault="006E1C44">
            <w:pPr>
              <w:rPr>
                <w:rFonts w:ascii="仿宋" w:eastAsia="仿宋" w:hAnsi="仿宋" w:cs="仿宋"/>
                <w:sz w:val="2"/>
                <w:szCs w:val="2"/>
              </w:rPr>
            </w:pPr>
          </w:p>
        </w:tc>
        <w:tc>
          <w:tcPr>
            <w:tcW w:w="1043" w:type="dxa"/>
            <w:vMerge/>
            <w:tcBorders>
              <w:left w:val="single" w:sz="4" w:space="0" w:color="000000"/>
              <w:bottom w:val="single" w:sz="4" w:space="0" w:color="000000"/>
            </w:tcBorders>
          </w:tcPr>
          <w:p w:rsidR="006E1C44" w:rsidRDefault="006E1C44">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sz w:val="2"/>
                <w:szCs w:val="2"/>
              </w:rPr>
            </w:pPr>
          </w:p>
        </w:tc>
      </w:tr>
      <w:tr w:rsidR="006E1C44">
        <w:trPr>
          <w:cantSplit/>
          <w:trHeight w:val="380"/>
        </w:trPr>
        <w:tc>
          <w:tcPr>
            <w:tcW w:w="1044"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14.16</w:t>
            </w:r>
          </w:p>
        </w:tc>
        <w:tc>
          <w:tcPr>
            <w:tcW w:w="1042"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12.16</w:t>
            </w:r>
          </w:p>
        </w:tc>
        <w:tc>
          <w:tcPr>
            <w:tcW w:w="1020"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9"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6"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2.00</w:t>
            </w:r>
          </w:p>
        </w:tc>
        <w:tc>
          <w:tcPr>
            <w:tcW w:w="1043" w:type="dxa"/>
            <w:tcBorders>
              <w:left w:val="single" w:sz="4" w:space="0" w:color="000000"/>
              <w:bottom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10"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58"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13.73</w:t>
            </w:r>
          </w:p>
        </w:tc>
        <w:tc>
          <w:tcPr>
            <w:tcW w:w="1010"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12.16</w:t>
            </w:r>
          </w:p>
        </w:tc>
        <w:tc>
          <w:tcPr>
            <w:tcW w:w="948"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89"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3"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1.57</w:t>
            </w:r>
          </w:p>
        </w:tc>
        <w:tc>
          <w:tcPr>
            <w:tcW w:w="1057"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7"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sz w:val="18"/>
                <w:szCs w:val="18"/>
              </w:rPr>
            </w:pPr>
            <w:r>
              <w:rPr>
                <w:rFonts w:ascii="仿宋" w:eastAsia="仿宋" w:hAnsi="仿宋" w:cs="仿宋" w:hint="eastAsia"/>
                <w:sz w:val="18"/>
                <w:szCs w:val="18"/>
              </w:rPr>
              <w:t>0.00</w:t>
            </w:r>
          </w:p>
        </w:tc>
      </w:tr>
    </w:tbl>
    <w:p w:rsidR="006E1C44" w:rsidRDefault="00B46BCC">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6E1C44">
        <w:trPr>
          <w:cantSplit/>
          <w:trHeight w:val="214"/>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统计数</w:t>
            </w: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2</w:t>
            </w: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4</w:t>
            </w: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1</w:t>
            </w: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8</w:t>
            </w: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国内公务接待</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80</w:t>
            </w: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国（境）外公务接待</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0</w:t>
            </w: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6E1C44">
            <w:pPr>
              <w:pStyle w:val="TableParagraph"/>
              <w:jc w:val="center"/>
              <w:rPr>
                <w:rFonts w:ascii="仿宋" w:eastAsia="仿宋" w:hAnsi="仿宋" w:cs="仿宋"/>
              </w:rPr>
            </w:pP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参加会议</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6E1C44">
            <w:pPr>
              <w:pStyle w:val="TableParagraph"/>
              <w:jc w:val="center"/>
              <w:rPr>
                <w:rFonts w:ascii="仿宋" w:eastAsia="仿宋" w:hAnsi="仿宋" w:cs="仿宋"/>
              </w:rPr>
            </w:pPr>
          </w:p>
        </w:tc>
      </w:tr>
      <w:tr w:rsidR="006E1C44">
        <w:trPr>
          <w:cantSplit/>
          <w:trHeight w:val="190"/>
        </w:trPr>
        <w:tc>
          <w:tcPr>
            <w:tcW w:w="4028" w:type="dxa"/>
            <w:tcBorders>
              <w:top w:val="single" w:sz="4" w:space="0" w:color="auto"/>
              <w:left w:val="single" w:sz="4" w:space="0" w:color="auto"/>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6E1C44" w:rsidRDefault="006E1C44">
            <w:pPr>
              <w:pStyle w:val="TableParagraph"/>
              <w:jc w:val="center"/>
              <w:rPr>
                <w:rFonts w:ascii="仿宋" w:eastAsia="仿宋" w:hAnsi="仿宋" w:cs="仿宋"/>
              </w:rPr>
            </w:pPr>
          </w:p>
        </w:tc>
        <w:tc>
          <w:tcPr>
            <w:tcW w:w="3908" w:type="dxa"/>
            <w:tcBorders>
              <w:top w:val="single" w:sz="4" w:space="0" w:color="auto"/>
              <w:left w:val="single" w:sz="4" w:space="0" w:color="000000"/>
              <w:bottom w:val="single" w:sz="4" w:space="0" w:color="auto"/>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参加培训</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6E1C44" w:rsidRDefault="006E1C44">
            <w:pPr>
              <w:pStyle w:val="TableParagraph"/>
              <w:jc w:val="center"/>
              <w:rPr>
                <w:rFonts w:ascii="仿宋" w:eastAsia="仿宋" w:hAnsi="仿宋" w:cs="仿宋"/>
              </w:rPr>
            </w:pPr>
          </w:p>
        </w:tc>
      </w:tr>
    </w:tbl>
    <w:p w:rsidR="006E1C44" w:rsidRDefault="00B46BCC">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6E1C44" w:rsidRDefault="006E1C44">
      <w:pPr>
        <w:ind w:left="227" w:firstLineChars="100" w:firstLine="220"/>
        <w:jc w:val="both"/>
        <w:rPr>
          <w:rFonts w:ascii="仿宋" w:eastAsia="仿宋" w:hAnsi="仿宋" w:cs="仿宋"/>
        </w:rPr>
        <w:sectPr w:rsidR="006E1C44">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6E1C44">
        <w:trPr>
          <w:trHeight w:val="395"/>
        </w:trPr>
        <w:tc>
          <w:tcPr>
            <w:tcW w:w="15400" w:type="dxa"/>
            <w:gridSpan w:val="5"/>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6E1C44">
        <w:trPr>
          <w:trHeight w:val="323"/>
        </w:trPr>
        <w:tc>
          <w:tcPr>
            <w:tcW w:w="8426" w:type="dxa"/>
            <w:gridSpan w:val="2"/>
          </w:tcPr>
          <w:p w:rsidR="006E1C44" w:rsidRDefault="006E1C44">
            <w:pPr>
              <w:pStyle w:val="TableParagraph"/>
              <w:rPr>
                <w:rFonts w:ascii="仿宋" w:eastAsia="仿宋" w:hAnsi="仿宋" w:cs="仿宋"/>
                <w:sz w:val="20"/>
              </w:rPr>
            </w:pPr>
          </w:p>
        </w:tc>
        <w:tc>
          <w:tcPr>
            <w:tcW w:w="2684" w:type="dxa"/>
          </w:tcPr>
          <w:p w:rsidR="006E1C44" w:rsidRDefault="006E1C44">
            <w:pPr>
              <w:pStyle w:val="TableParagraph"/>
              <w:rPr>
                <w:rFonts w:ascii="仿宋" w:eastAsia="仿宋" w:hAnsi="仿宋" w:cs="仿宋"/>
                <w:sz w:val="27"/>
              </w:rPr>
            </w:pPr>
          </w:p>
        </w:tc>
        <w:tc>
          <w:tcPr>
            <w:tcW w:w="2432" w:type="dxa"/>
          </w:tcPr>
          <w:p w:rsidR="006E1C44" w:rsidRDefault="006E1C44">
            <w:pPr>
              <w:pStyle w:val="TableParagraph"/>
              <w:rPr>
                <w:rFonts w:ascii="仿宋" w:eastAsia="仿宋" w:hAnsi="仿宋" w:cs="仿宋"/>
                <w:sz w:val="20"/>
              </w:rPr>
            </w:pPr>
          </w:p>
        </w:tc>
        <w:tc>
          <w:tcPr>
            <w:tcW w:w="1858"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6E1C44">
        <w:trPr>
          <w:trHeight w:val="152"/>
        </w:trPr>
        <w:tc>
          <w:tcPr>
            <w:tcW w:w="13542" w:type="dxa"/>
            <w:gridSpan w:val="4"/>
            <w:vAlign w:val="center"/>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1858"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金额单位：万元</w:t>
            </w:r>
          </w:p>
        </w:tc>
      </w:tr>
      <w:tr w:rsidR="006E1C44">
        <w:trPr>
          <w:trHeight w:val="267"/>
        </w:trPr>
        <w:tc>
          <w:tcPr>
            <w:tcW w:w="8426"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项目支出</w:t>
            </w:r>
          </w:p>
        </w:tc>
      </w:tr>
      <w:tr w:rsidR="006E1C44">
        <w:trPr>
          <w:trHeight w:val="427"/>
        </w:trPr>
        <w:tc>
          <w:tcPr>
            <w:tcW w:w="1431"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w:t>
            </w:r>
          </w:p>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6E1C44" w:rsidRDefault="006E1C44">
            <w:pPr>
              <w:rPr>
                <w:rFonts w:ascii="仿宋" w:eastAsia="仿宋" w:hAnsi="仿宋" w:cs="仿宋"/>
              </w:rPr>
            </w:pPr>
          </w:p>
        </w:tc>
        <w:tc>
          <w:tcPr>
            <w:tcW w:w="2432" w:type="dxa"/>
            <w:vMerge/>
            <w:tcBorders>
              <w:left w:val="single" w:sz="4" w:space="0" w:color="000000"/>
              <w:bottom w:val="single" w:sz="4" w:space="0" w:color="000000"/>
            </w:tcBorders>
            <w:vAlign w:val="center"/>
          </w:tcPr>
          <w:p w:rsidR="006E1C44" w:rsidRDefault="006E1C44">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rPr>
            </w:pPr>
          </w:p>
        </w:tc>
      </w:tr>
      <w:tr w:rsidR="006E1C44">
        <w:trPr>
          <w:trHeight w:val="275"/>
        </w:trPr>
        <w:tc>
          <w:tcPr>
            <w:tcW w:w="8426"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lang w:val="en-US"/>
              </w:rPr>
            </w:pPr>
            <w:r>
              <w:rPr>
                <w:rFonts w:ascii="仿宋" w:eastAsia="仿宋" w:hAnsi="仿宋" w:cs="仿宋" w:hint="eastAsia"/>
                <w:lang w:val="en-US"/>
              </w:rPr>
              <w:t>3</w:t>
            </w:r>
          </w:p>
        </w:tc>
      </w:tr>
      <w:tr w:rsidR="006E1C44">
        <w:trPr>
          <w:trHeight w:hRule="exact" w:val="389"/>
        </w:trPr>
        <w:tc>
          <w:tcPr>
            <w:tcW w:w="8426"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bl>
    <w:p w:rsidR="006E1C44" w:rsidRDefault="00B46BCC">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6E1C44" w:rsidRDefault="00B46BCC">
      <w:pPr>
        <w:spacing w:before="25"/>
        <w:ind w:leftChars="200" w:left="440"/>
        <w:jc w:val="both"/>
        <w:rPr>
          <w:rFonts w:ascii="仿宋" w:eastAsia="仿宋" w:hAnsi="仿宋" w:cs="仿宋"/>
          <w:lang w:val="en-US"/>
        </w:rPr>
      </w:pPr>
      <w:r>
        <w:rPr>
          <w:rFonts w:ascii="仿宋" w:eastAsia="仿宋" w:hAnsi="仿宋" w:cs="仿宋"/>
        </w:rPr>
        <w:t>本部门无政府性基金预算收入支出决算，故本表为空。</w:t>
      </w:r>
    </w:p>
    <w:p w:rsidR="006E1C44" w:rsidRDefault="006E1C44">
      <w:pPr>
        <w:spacing w:before="25"/>
        <w:jc w:val="both"/>
        <w:rPr>
          <w:rFonts w:ascii="仿宋" w:eastAsia="仿宋" w:hAnsi="仿宋" w:cs="仿宋"/>
          <w:lang w:val="en-US"/>
        </w:rPr>
        <w:sectPr w:rsidR="006E1C44">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6E1C44">
        <w:trPr>
          <w:trHeight w:val="395"/>
        </w:trPr>
        <w:tc>
          <w:tcPr>
            <w:tcW w:w="15400" w:type="dxa"/>
            <w:gridSpan w:val="5"/>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6E1C44">
        <w:trPr>
          <w:trHeight w:val="323"/>
        </w:trPr>
        <w:tc>
          <w:tcPr>
            <w:tcW w:w="8520" w:type="dxa"/>
            <w:gridSpan w:val="2"/>
          </w:tcPr>
          <w:p w:rsidR="006E1C44" w:rsidRDefault="006E1C44">
            <w:pPr>
              <w:pStyle w:val="TableParagraph"/>
              <w:rPr>
                <w:rFonts w:ascii="仿宋" w:eastAsia="仿宋" w:hAnsi="仿宋" w:cs="仿宋"/>
                <w:sz w:val="20"/>
              </w:rPr>
            </w:pPr>
          </w:p>
        </w:tc>
        <w:tc>
          <w:tcPr>
            <w:tcW w:w="2510" w:type="dxa"/>
          </w:tcPr>
          <w:p w:rsidR="006E1C44" w:rsidRDefault="006E1C44">
            <w:pPr>
              <w:pStyle w:val="TableParagraph"/>
              <w:rPr>
                <w:rFonts w:ascii="仿宋" w:eastAsia="仿宋" w:hAnsi="仿宋" w:cs="仿宋"/>
                <w:sz w:val="27"/>
              </w:rPr>
            </w:pPr>
          </w:p>
        </w:tc>
        <w:tc>
          <w:tcPr>
            <w:tcW w:w="2309" w:type="dxa"/>
          </w:tcPr>
          <w:p w:rsidR="006E1C44" w:rsidRDefault="006E1C44">
            <w:pPr>
              <w:pStyle w:val="TableParagraph"/>
              <w:rPr>
                <w:rFonts w:ascii="仿宋" w:eastAsia="仿宋" w:hAnsi="仿宋" w:cs="仿宋"/>
                <w:sz w:val="20"/>
              </w:rPr>
            </w:pPr>
          </w:p>
        </w:tc>
        <w:tc>
          <w:tcPr>
            <w:tcW w:w="2061"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proofErr w:type="spellStart"/>
            <w:r>
              <w:rPr>
                <w:rFonts w:ascii="仿宋" w:eastAsia="仿宋" w:hAnsi="仿宋" w:cs="仿宋" w:hint="eastAsia"/>
                <w:lang w:val="en-US"/>
              </w:rPr>
              <w:t>1</w:t>
            </w:r>
            <w:proofErr w:type="spellEnd"/>
            <w:r>
              <w:rPr>
                <w:rFonts w:ascii="仿宋" w:eastAsia="仿宋" w:hAnsi="仿宋" w:cs="仿宋" w:hint="eastAsia"/>
              </w:rPr>
              <w:t>表</w:t>
            </w:r>
          </w:p>
        </w:tc>
      </w:tr>
      <w:tr w:rsidR="006E1C44">
        <w:trPr>
          <w:trHeight w:val="152"/>
        </w:trPr>
        <w:tc>
          <w:tcPr>
            <w:tcW w:w="13339" w:type="dxa"/>
            <w:gridSpan w:val="4"/>
            <w:vAlign w:val="center"/>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2061"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金额单位：万元</w:t>
            </w:r>
          </w:p>
        </w:tc>
      </w:tr>
      <w:tr w:rsidR="006E1C44">
        <w:trPr>
          <w:trHeight w:val="267"/>
        </w:trPr>
        <w:tc>
          <w:tcPr>
            <w:tcW w:w="8520" w:type="dxa"/>
            <w:gridSpan w:val="2"/>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项目支出</w:t>
            </w:r>
          </w:p>
        </w:tc>
      </w:tr>
      <w:tr w:rsidR="006E1C44">
        <w:trPr>
          <w:trHeight w:val="427"/>
        </w:trPr>
        <w:tc>
          <w:tcPr>
            <w:tcW w:w="1462"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功能分类</w:t>
            </w:r>
          </w:p>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6E1C44" w:rsidRDefault="006E1C44">
            <w:pPr>
              <w:rPr>
                <w:rFonts w:ascii="仿宋" w:eastAsia="仿宋" w:hAnsi="仿宋" w:cs="仿宋"/>
              </w:rPr>
            </w:pPr>
          </w:p>
        </w:tc>
        <w:tc>
          <w:tcPr>
            <w:tcW w:w="2309" w:type="dxa"/>
            <w:vMerge/>
            <w:tcBorders>
              <w:left w:val="single" w:sz="4" w:space="0" w:color="000000"/>
              <w:bottom w:val="single" w:sz="4" w:space="0" w:color="000000"/>
            </w:tcBorders>
            <w:vAlign w:val="center"/>
          </w:tcPr>
          <w:p w:rsidR="006E1C44" w:rsidRDefault="006E1C44">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rPr>
            </w:pPr>
          </w:p>
        </w:tc>
      </w:tr>
      <w:tr w:rsidR="006E1C44">
        <w:trPr>
          <w:trHeight w:val="275"/>
        </w:trPr>
        <w:tc>
          <w:tcPr>
            <w:tcW w:w="8520"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lang w:val="en-US"/>
              </w:rPr>
            </w:pPr>
            <w:r>
              <w:rPr>
                <w:rFonts w:ascii="仿宋" w:eastAsia="仿宋" w:hAnsi="仿宋" w:cs="仿宋" w:hint="eastAsia"/>
                <w:lang w:val="en-US"/>
              </w:rPr>
              <w:t>3</w:t>
            </w:r>
          </w:p>
        </w:tc>
      </w:tr>
      <w:tr w:rsidR="006E1C44">
        <w:trPr>
          <w:trHeight w:hRule="exact" w:val="389"/>
        </w:trPr>
        <w:tc>
          <w:tcPr>
            <w:tcW w:w="8520"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6E1C44" w:rsidRDefault="006E1C44">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6E1C44" w:rsidRDefault="006E1C44">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bl>
    <w:p w:rsidR="006E1C44" w:rsidRDefault="00B46BCC">
      <w:pPr>
        <w:jc w:val="both"/>
        <w:rPr>
          <w:rFonts w:ascii="仿宋" w:eastAsia="仿宋" w:hAnsi="仿宋" w:cs="仿宋"/>
        </w:rPr>
      </w:pPr>
      <w:r>
        <w:rPr>
          <w:rFonts w:ascii="仿宋" w:eastAsia="仿宋" w:hAnsi="仿宋" w:cs="仿宋" w:hint="eastAsia"/>
        </w:rPr>
        <w:t>注：本表反映本年度国有资本经营预算财政拨款支出情况。</w:t>
      </w:r>
    </w:p>
    <w:p w:rsidR="006E1C44" w:rsidRDefault="00B46BCC">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6E1C44" w:rsidRDefault="006E1C44">
      <w:pPr>
        <w:spacing w:before="25"/>
        <w:ind w:leftChars="-100" w:left="-220"/>
        <w:jc w:val="both"/>
        <w:rPr>
          <w:rFonts w:ascii="仿宋" w:eastAsia="仿宋" w:hAnsi="仿宋" w:cs="仿宋"/>
          <w:lang w:val="en-US"/>
        </w:rPr>
        <w:sectPr w:rsidR="006E1C44">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6E1C44">
        <w:trPr>
          <w:trHeight w:val="319"/>
        </w:trPr>
        <w:tc>
          <w:tcPr>
            <w:tcW w:w="10466" w:type="dxa"/>
            <w:gridSpan w:val="3"/>
          </w:tcPr>
          <w:p w:rsidR="006E1C44" w:rsidRDefault="00B46BCC">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6E1C44">
        <w:trPr>
          <w:trHeight w:val="90"/>
        </w:trPr>
        <w:tc>
          <w:tcPr>
            <w:tcW w:w="6632" w:type="dxa"/>
            <w:gridSpan w:val="2"/>
          </w:tcPr>
          <w:p w:rsidR="006E1C44" w:rsidRDefault="006E1C44">
            <w:pPr>
              <w:pStyle w:val="TableParagraph"/>
              <w:rPr>
                <w:rFonts w:ascii="仿宋" w:eastAsia="仿宋" w:hAnsi="仿宋" w:cs="仿宋"/>
                <w:sz w:val="20"/>
              </w:rPr>
            </w:pPr>
          </w:p>
        </w:tc>
        <w:tc>
          <w:tcPr>
            <w:tcW w:w="3834" w:type="dxa"/>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6E1C44">
        <w:trPr>
          <w:trHeight w:val="90"/>
        </w:trPr>
        <w:tc>
          <w:tcPr>
            <w:tcW w:w="6632" w:type="dxa"/>
            <w:gridSpan w:val="2"/>
            <w:vAlign w:val="center"/>
          </w:tcPr>
          <w:p w:rsidR="006E1C44" w:rsidRDefault="00B46BCC">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834" w:type="dxa"/>
            <w:vAlign w:val="center"/>
          </w:tcPr>
          <w:p w:rsidR="006E1C44" w:rsidRDefault="00B46BCC">
            <w:pPr>
              <w:pStyle w:val="TableParagraph"/>
              <w:jc w:val="right"/>
              <w:rPr>
                <w:rFonts w:ascii="仿宋" w:eastAsia="仿宋" w:hAnsi="仿宋" w:cs="仿宋"/>
                <w:sz w:val="27"/>
              </w:rPr>
            </w:pPr>
            <w:r>
              <w:rPr>
                <w:rFonts w:ascii="仿宋" w:eastAsia="仿宋" w:hAnsi="仿宋" w:cs="仿宋" w:hint="eastAsia"/>
              </w:rPr>
              <w:t>金额单位：万元</w:t>
            </w:r>
          </w:p>
        </w:tc>
      </w:tr>
      <w:tr w:rsidR="006E1C44">
        <w:trPr>
          <w:trHeight w:val="319"/>
        </w:trPr>
        <w:tc>
          <w:tcPr>
            <w:tcW w:w="6632" w:type="dxa"/>
            <w:gridSpan w:val="2"/>
            <w:tcBorders>
              <w:top w:val="single" w:sz="4" w:space="0" w:color="000000"/>
              <w:left w:val="single" w:sz="4" w:space="0" w:color="000000"/>
              <w:bottom w:val="single" w:sz="4" w:space="0" w:color="000000"/>
            </w:tcBorders>
          </w:tcPr>
          <w:p w:rsidR="006E1C44" w:rsidRDefault="00B46BCC">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机关运行经费支出决算</w:t>
            </w:r>
          </w:p>
        </w:tc>
      </w:tr>
      <w:tr w:rsidR="006E1C44">
        <w:trPr>
          <w:trHeight w:val="363"/>
        </w:trPr>
        <w:tc>
          <w:tcPr>
            <w:tcW w:w="1642"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6E1C44" w:rsidRDefault="006E1C44">
            <w:pPr>
              <w:rPr>
                <w:rFonts w:ascii="仿宋" w:eastAsia="仿宋" w:hAnsi="仿宋" w:cs="仿宋"/>
              </w:rPr>
            </w:pPr>
          </w:p>
        </w:tc>
      </w:tr>
      <w:tr w:rsidR="006E1C44">
        <w:trPr>
          <w:trHeight w:val="229"/>
        </w:trPr>
        <w:tc>
          <w:tcPr>
            <w:tcW w:w="6632" w:type="dxa"/>
            <w:gridSpan w:val="2"/>
            <w:tcBorders>
              <w:left w:val="single" w:sz="4" w:space="0" w:color="000000"/>
              <w:bottom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6E1C44" w:rsidRDefault="00B46BCC">
            <w:pPr>
              <w:pStyle w:val="TableParagraph"/>
              <w:jc w:val="right"/>
              <w:rPr>
                <w:rFonts w:ascii="仿宋" w:eastAsia="仿宋" w:hAnsi="仿宋" w:cs="仿宋"/>
              </w:rPr>
            </w:pPr>
            <w:r>
              <w:rPr>
                <w:rFonts w:ascii="仿宋" w:eastAsia="仿宋" w:hAnsi="仿宋" w:cs="仿宋" w:hint="eastAsia"/>
              </w:rPr>
              <w:t>52.34</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52.34</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2.39</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30203</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咨询费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3.57</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15.32</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12.00</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1.57</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4.01</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0.10</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B46BCC">
            <w:pPr>
              <w:jc w:val="right"/>
              <w:rPr>
                <w:rFonts w:ascii="仿宋" w:eastAsia="仿宋" w:hAnsi="仿宋" w:cs="仿宋"/>
              </w:rPr>
            </w:pPr>
            <w:r>
              <w:rPr>
                <w:rFonts w:ascii="仿宋" w:eastAsia="仿宋" w:hAnsi="仿宋" w:cs="仿宋" w:hint="eastAsia"/>
              </w:rPr>
              <w:t>13.38</w:t>
            </w: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lastRenderedPageBreak/>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r w:rsidR="006E1C44">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6E1C44" w:rsidRDefault="006E1C44">
            <w:pPr>
              <w:jc w:val="right"/>
              <w:rPr>
                <w:rFonts w:ascii="仿宋" w:eastAsia="仿宋" w:hAnsi="仿宋" w:cs="仿宋"/>
              </w:rPr>
            </w:pPr>
          </w:p>
        </w:tc>
      </w:tr>
    </w:tbl>
    <w:p w:rsidR="006E1C44" w:rsidRDefault="00B46BCC">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6E1C44" w:rsidRDefault="006E1C44">
      <w:pPr>
        <w:tabs>
          <w:tab w:val="left" w:pos="440"/>
        </w:tabs>
        <w:spacing w:before="25"/>
        <w:ind w:leftChars="200" w:left="440"/>
        <w:jc w:val="both"/>
        <w:rPr>
          <w:rFonts w:ascii="仿宋" w:eastAsia="仿宋" w:hAnsi="仿宋" w:cs="仿宋"/>
          <w:lang w:val="en-US"/>
        </w:rPr>
        <w:sectPr w:rsidR="006E1C44">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6E1C44">
        <w:trPr>
          <w:trHeight w:val="333"/>
        </w:trPr>
        <w:tc>
          <w:tcPr>
            <w:tcW w:w="10459" w:type="dxa"/>
            <w:gridSpan w:val="4"/>
            <w:vAlign w:val="center"/>
          </w:tcPr>
          <w:p w:rsidR="006E1C44" w:rsidRDefault="00B46BCC">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6E1C44">
        <w:trPr>
          <w:trHeight w:val="333"/>
        </w:trPr>
        <w:tc>
          <w:tcPr>
            <w:tcW w:w="4472" w:type="dxa"/>
          </w:tcPr>
          <w:p w:rsidR="006E1C44" w:rsidRDefault="006E1C44">
            <w:pPr>
              <w:pStyle w:val="TableParagraph"/>
              <w:rPr>
                <w:rFonts w:ascii="仿宋" w:eastAsia="仿宋" w:hAnsi="仿宋" w:cs="仿宋"/>
              </w:rPr>
            </w:pPr>
          </w:p>
        </w:tc>
        <w:tc>
          <w:tcPr>
            <w:tcW w:w="722" w:type="dxa"/>
          </w:tcPr>
          <w:p w:rsidR="006E1C44" w:rsidRDefault="006E1C44">
            <w:pPr>
              <w:pStyle w:val="TableParagraph"/>
              <w:rPr>
                <w:rFonts w:ascii="仿宋" w:eastAsia="仿宋" w:hAnsi="仿宋" w:cs="仿宋"/>
              </w:rPr>
            </w:pPr>
          </w:p>
        </w:tc>
        <w:tc>
          <w:tcPr>
            <w:tcW w:w="1992" w:type="dxa"/>
          </w:tcPr>
          <w:p w:rsidR="006E1C44" w:rsidRDefault="006E1C44">
            <w:pPr>
              <w:pStyle w:val="TableParagraph"/>
              <w:rPr>
                <w:rFonts w:ascii="仿宋" w:eastAsia="仿宋" w:hAnsi="仿宋" w:cs="仿宋"/>
              </w:rPr>
            </w:pPr>
          </w:p>
        </w:tc>
        <w:tc>
          <w:tcPr>
            <w:tcW w:w="3273" w:type="dxa"/>
            <w:vAlign w:val="center"/>
          </w:tcPr>
          <w:p w:rsidR="006E1C44" w:rsidRDefault="00B46BCC">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6E1C44">
        <w:trPr>
          <w:trHeight w:val="90"/>
        </w:trPr>
        <w:tc>
          <w:tcPr>
            <w:tcW w:w="7186" w:type="dxa"/>
            <w:gridSpan w:val="3"/>
          </w:tcPr>
          <w:p w:rsidR="006E1C44" w:rsidRDefault="00B46BCC">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中国国际贸易促进委员会苏州市委员会</w:t>
            </w:r>
          </w:p>
        </w:tc>
        <w:tc>
          <w:tcPr>
            <w:tcW w:w="3273" w:type="dxa"/>
            <w:vAlign w:val="center"/>
          </w:tcPr>
          <w:p w:rsidR="006E1C44" w:rsidRDefault="00B46BCC">
            <w:pPr>
              <w:pStyle w:val="TableParagraph"/>
              <w:jc w:val="right"/>
              <w:rPr>
                <w:rFonts w:ascii="仿宋" w:eastAsia="仿宋" w:hAnsi="仿宋" w:cs="仿宋"/>
              </w:rPr>
            </w:pPr>
            <w:r>
              <w:rPr>
                <w:rFonts w:ascii="仿宋" w:eastAsia="仿宋" w:hAnsi="仿宋" w:cs="仿宋" w:hint="eastAsia"/>
              </w:rPr>
              <w:t>单位：万元</w:t>
            </w:r>
          </w:p>
        </w:tc>
      </w:tr>
      <w:tr w:rsidR="006E1C44">
        <w:trPr>
          <w:trHeight w:val="244"/>
        </w:trPr>
        <w:tc>
          <w:tcPr>
            <w:tcW w:w="4472" w:type="dxa"/>
            <w:tcBorders>
              <w:top w:val="single" w:sz="4" w:space="0" w:color="000000"/>
              <w:left w:val="single" w:sz="4" w:space="0" w:color="000000"/>
              <w:bottom w:val="single" w:sz="4" w:space="0" w:color="000000"/>
            </w:tcBorders>
            <w:vAlign w:val="center"/>
          </w:tcPr>
          <w:p w:rsidR="006E1C44" w:rsidRDefault="00B46BCC">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6E1C44" w:rsidRDefault="00B46BCC">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r w:rsidR="006E1C44">
        <w:trPr>
          <w:cantSplit/>
          <w:trHeight w:val="277"/>
        </w:trPr>
        <w:tc>
          <w:tcPr>
            <w:tcW w:w="4472" w:type="dxa"/>
            <w:tcBorders>
              <w:left w:val="single" w:sz="4" w:space="0" w:color="000000"/>
              <w:bottom w:val="single" w:sz="4" w:space="0" w:color="000000"/>
            </w:tcBorders>
            <w:vAlign w:val="center"/>
          </w:tcPr>
          <w:p w:rsidR="006E1C44" w:rsidRDefault="00B46BCC">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w:t>
            </w:r>
            <w:proofErr w:type="gramStart"/>
            <w:r>
              <w:rPr>
                <w:rFonts w:ascii="仿宋" w:eastAsia="仿宋" w:hAnsi="仿宋" w:cs="仿宋" w:hint="eastAsia"/>
              </w:rPr>
              <w:t>微企业</w:t>
            </w:r>
            <w:proofErr w:type="gramEnd"/>
            <w:r>
              <w:rPr>
                <w:rFonts w:ascii="仿宋" w:eastAsia="仿宋" w:hAnsi="仿宋" w:cs="仿宋" w:hint="eastAsia"/>
              </w:rPr>
              <w:t>合同金额</w:t>
            </w:r>
          </w:p>
        </w:tc>
        <w:tc>
          <w:tcPr>
            <w:tcW w:w="5987" w:type="dxa"/>
            <w:gridSpan w:val="3"/>
            <w:tcBorders>
              <w:left w:val="single" w:sz="4" w:space="0" w:color="000000"/>
              <w:bottom w:val="single" w:sz="4" w:space="0" w:color="000000"/>
              <w:right w:val="single" w:sz="4" w:space="0" w:color="000000"/>
            </w:tcBorders>
            <w:vAlign w:val="center"/>
          </w:tcPr>
          <w:p w:rsidR="006E1C44" w:rsidRDefault="006E1C44">
            <w:pPr>
              <w:pStyle w:val="TableParagraph"/>
              <w:jc w:val="right"/>
              <w:rPr>
                <w:rFonts w:ascii="仿宋" w:eastAsia="仿宋" w:hAnsi="仿宋" w:cs="仿宋"/>
              </w:rPr>
            </w:pPr>
          </w:p>
        </w:tc>
      </w:tr>
    </w:tbl>
    <w:p w:rsidR="006E1C44" w:rsidRDefault="00B46BCC">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w:t>
      </w:r>
    </w:p>
    <w:p w:rsidR="006E1C44" w:rsidRDefault="00B46BCC">
      <w:pPr>
        <w:ind w:leftChars="200" w:left="440"/>
        <w:jc w:val="both"/>
        <w:rPr>
          <w:rFonts w:ascii="仿宋" w:eastAsia="仿宋" w:hAnsi="仿宋" w:cs="仿宋"/>
          <w:lang w:val="en-US"/>
        </w:rPr>
      </w:pPr>
      <w:r>
        <w:rPr>
          <w:rFonts w:ascii="仿宋" w:eastAsia="仿宋" w:hAnsi="仿宋" w:cs="仿宋" w:hint="eastAsia"/>
        </w:rPr>
        <w:t>本</w:t>
      </w:r>
      <w:r>
        <w:rPr>
          <w:rFonts w:ascii="仿宋" w:eastAsia="仿宋" w:hAnsi="仿宋" w:cs="仿宋" w:hint="eastAsia"/>
          <w:lang w:val="en-US"/>
        </w:rPr>
        <w:t>部门</w:t>
      </w:r>
      <w:r>
        <w:rPr>
          <w:rFonts w:ascii="仿宋" w:eastAsia="仿宋" w:hAnsi="仿宋" w:cs="仿宋" w:hint="eastAsia"/>
        </w:rPr>
        <w:t>无政府采购支出决算</w:t>
      </w:r>
      <w:r>
        <w:rPr>
          <w:rFonts w:ascii="仿宋" w:eastAsia="仿宋" w:hAnsi="仿宋" w:cs="仿宋" w:hint="eastAsia"/>
          <w:lang w:val="en-US"/>
        </w:rPr>
        <w:t>，</w:t>
      </w:r>
      <w:r>
        <w:rPr>
          <w:rFonts w:ascii="仿宋" w:eastAsia="仿宋" w:hAnsi="仿宋" w:cs="仿宋" w:hint="eastAsia"/>
        </w:rPr>
        <w:t>故本表为空。</w:t>
      </w:r>
    </w:p>
    <w:p w:rsidR="006E1C44" w:rsidRDefault="006E1C44">
      <w:pPr>
        <w:ind w:leftChars="200" w:left="440"/>
        <w:jc w:val="both"/>
        <w:rPr>
          <w:rFonts w:ascii="仿宋" w:eastAsia="仿宋" w:hAnsi="仿宋" w:cs="仿宋"/>
          <w:lang w:val="en-US"/>
        </w:rPr>
        <w:sectPr w:rsidR="006E1C44">
          <w:pgSz w:w="11906" w:h="16838"/>
          <w:pgMar w:top="720" w:right="720" w:bottom="720" w:left="720" w:header="170" w:footer="280" w:gutter="0"/>
          <w:pgNumType w:fmt="numberInDash"/>
          <w:cols w:space="720"/>
          <w:formProt w:val="0"/>
          <w:docGrid w:linePitch="100"/>
        </w:sectPr>
      </w:pPr>
    </w:p>
    <w:p w:rsidR="006E1C44" w:rsidRDefault="00B46BCC">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w:t>
      </w:r>
      <w:r>
        <w:rPr>
          <w:rFonts w:ascii="宋体" w:eastAsia="宋体" w:hAnsi="宋体" w:cs="宋体" w:hint="eastAsia"/>
          <w:b/>
          <w:bCs/>
          <w:color w:val="000000"/>
          <w:lang w:val="en-US"/>
        </w:rPr>
        <w:t>2024</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6E1C44" w:rsidRDefault="006E1C44">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年度收入、支出决算总计</w:t>
      </w:r>
      <w:r>
        <w:rPr>
          <w:rFonts w:ascii="仿宋" w:eastAsia="仿宋" w:hAnsi="仿宋" w:cs="仿宋"/>
        </w:rPr>
        <w:t>947.81</w:t>
      </w:r>
      <w:r>
        <w:rPr>
          <w:rFonts w:ascii="仿宋" w:eastAsia="仿宋" w:hAnsi="仿宋" w:cs="仿宋"/>
        </w:rPr>
        <w:t>万元。与上年相比，收、支总计各减少</w:t>
      </w:r>
      <w:r>
        <w:rPr>
          <w:rFonts w:ascii="仿宋" w:eastAsia="仿宋" w:hAnsi="仿宋" w:cs="仿宋"/>
        </w:rPr>
        <w:t>226.6</w:t>
      </w:r>
      <w:r>
        <w:rPr>
          <w:rFonts w:ascii="仿宋" w:eastAsia="仿宋" w:hAnsi="仿宋" w:cs="仿宋"/>
        </w:rPr>
        <w:t>万元，减少</w:t>
      </w:r>
      <w:r>
        <w:rPr>
          <w:rFonts w:ascii="仿宋" w:eastAsia="仿宋" w:hAnsi="仿宋" w:cs="仿宋"/>
        </w:rPr>
        <w:t>19.29%</w:t>
      </w:r>
      <w:r>
        <w:rPr>
          <w:rFonts w:ascii="仿宋" w:eastAsia="仿宋" w:hAnsi="仿宋" w:cs="仿宋"/>
        </w:rPr>
        <w:t>。其中：</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947.81</w:t>
      </w:r>
      <w:r>
        <w:rPr>
          <w:rFonts w:ascii="仿宋" w:eastAsia="仿宋" w:hAnsi="仿宋" w:cs="仿宋"/>
          <w:b/>
        </w:rPr>
        <w:t>万元。包括：</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947.81</w:t>
      </w:r>
      <w:r>
        <w:rPr>
          <w:rFonts w:ascii="仿宋" w:eastAsia="仿宋" w:hAnsi="仿宋" w:cs="仿宋"/>
        </w:rPr>
        <w:t>万元。与上年相比，减少</w:t>
      </w:r>
      <w:r>
        <w:rPr>
          <w:rFonts w:ascii="仿宋" w:eastAsia="仿宋" w:hAnsi="仿宋" w:cs="仿宋"/>
        </w:rPr>
        <w:t>226.6</w:t>
      </w:r>
      <w:r>
        <w:rPr>
          <w:rFonts w:ascii="仿宋" w:eastAsia="仿宋" w:hAnsi="仿宋" w:cs="仿宋"/>
        </w:rPr>
        <w:t>万元，减少</w:t>
      </w:r>
      <w:r>
        <w:rPr>
          <w:rFonts w:ascii="仿宋" w:eastAsia="仿宋" w:hAnsi="仿宋" w:cs="仿宋"/>
        </w:rPr>
        <w:t>19.29%</w:t>
      </w:r>
      <w:r>
        <w:rPr>
          <w:rFonts w:ascii="仿宋" w:eastAsia="仿宋" w:hAnsi="仿宋" w:cs="仿宋"/>
        </w:rPr>
        <w:t>，变动原因：减少市立项目一个</w:t>
      </w:r>
      <w:r>
        <w:rPr>
          <w:rFonts w:ascii="仿宋" w:eastAsia="仿宋" w:hAnsi="仿宋" w:cs="仿宋"/>
        </w:rPr>
        <w:t>141.26</w:t>
      </w:r>
      <w:r>
        <w:rPr>
          <w:rFonts w:ascii="仿宋" w:eastAsia="仿宋" w:hAnsi="仿宋" w:cs="仿宋"/>
        </w:rPr>
        <w:t>万元，办公场所房租物业费费减少</w:t>
      </w:r>
      <w:r>
        <w:rPr>
          <w:rFonts w:ascii="仿宋" w:eastAsia="仿宋" w:hAnsi="仿宋" w:cs="仿宋"/>
        </w:rPr>
        <w:t>28.53</w:t>
      </w:r>
      <w:r>
        <w:rPr>
          <w:rFonts w:ascii="仿宋" w:eastAsia="仿宋" w:hAnsi="仿宋" w:cs="仿宋"/>
        </w:rPr>
        <w:t>万元，</w:t>
      </w:r>
      <w:r>
        <w:rPr>
          <w:rFonts w:ascii="仿宋" w:eastAsia="仿宋" w:hAnsi="仿宋" w:cs="仿宋"/>
        </w:rPr>
        <w:t>24</w:t>
      </w:r>
      <w:r>
        <w:rPr>
          <w:rFonts w:ascii="仿宋" w:eastAsia="仿宋" w:hAnsi="仿宋" w:cs="仿宋"/>
        </w:rPr>
        <w:t>年有人员退休人员费用及公用经费等相应减少等。</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0</w:t>
      </w:r>
      <w:r>
        <w:rPr>
          <w:rFonts w:ascii="仿宋" w:eastAsia="仿宋" w:hAnsi="仿宋" w:cs="仿宋"/>
        </w:rPr>
        <w:t>万元。与上年决算数相同。</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947.81</w:t>
      </w:r>
      <w:r>
        <w:rPr>
          <w:rFonts w:ascii="仿宋" w:eastAsia="仿宋" w:hAnsi="仿宋" w:cs="仿宋"/>
          <w:b/>
        </w:rPr>
        <w:t>万元。包括：</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947.81</w:t>
      </w:r>
      <w:r>
        <w:rPr>
          <w:rFonts w:ascii="仿宋" w:eastAsia="仿宋" w:hAnsi="仿宋" w:cs="仿宋"/>
        </w:rPr>
        <w:t>万元。与上年相比，减少</w:t>
      </w:r>
      <w:r>
        <w:rPr>
          <w:rFonts w:ascii="仿宋" w:eastAsia="仿宋" w:hAnsi="仿宋" w:cs="仿宋"/>
        </w:rPr>
        <w:t>226.6</w:t>
      </w:r>
      <w:r>
        <w:rPr>
          <w:rFonts w:ascii="仿宋" w:eastAsia="仿宋" w:hAnsi="仿宋" w:cs="仿宋"/>
        </w:rPr>
        <w:t>万元，减少</w:t>
      </w:r>
      <w:r>
        <w:rPr>
          <w:rFonts w:ascii="仿宋" w:eastAsia="仿宋" w:hAnsi="仿宋" w:cs="仿宋"/>
        </w:rPr>
        <w:t>19.29%</w:t>
      </w:r>
      <w:r>
        <w:rPr>
          <w:rFonts w:ascii="仿宋" w:eastAsia="仿宋" w:hAnsi="仿宋" w:cs="仿宋"/>
        </w:rPr>
        <w:t>，变动原因：减少市立项目一个</w:t>
      </w:r>
      <w:r>
        <w:rPr>
          <w:rFonts w:ascii="仿宋" w:eastAsia="仿宋" w:hAnsi="仿宋" w:cs="仿宋"/>
        </w:rPr>
        <w:t>141.26</w:t>
      </w:r>
      <w:r>
        <w:rPr>
          <w:rFonts w:ascii="仿宋" w:eastAsia="仿宋" w:hAnsi="仿宋" w:cs="仿宋"/>
        </w:rPr>
        <w:t>万元，办公场所房租物业费费减少</w:t>
      </w:r>
      <w:r>
        <w:rPr>
          <w:rFonts w:ascii="仿宋" w:eastAsia="仿宋" w:hAnsi="仿宋" w:cs="仿宋"/>
        </w:rPr>
        <w:t>28.53</w:t>
      </w:r>
      <w:r>
        <w:rPr>
          <w:rFonts w:ascii="仿宋" w:eastAsia="仿宋" w:hAnsi="仿宋" w:cs="仿宋"/>
        </w:rPr>
        <w:t>万元，</w:t>
      </w:r>
      <w:r>
        <w:rPr>
          <w:rFonts w:ascii="仿宋" w:eastAsia="仿宋" w:hAnsi="仿宋" w:cs="仿宋"/>
        </w:rPr>
        <w:t>24</w:t>
      </w:r>
      <w:r>
        <w:rPr>
          <w:rFonts w:ascii="仿宋" w:eastAsia="仿宋" w:hAnsi="仿宋" w:cs="仿宋"/>
        </w:rPr>
        <w:t>年有人员退休人员费用及公用经费等相应减少等。</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0</w:t>
      </w:r>
      <w:r>
        <w:rPr>
          <w:rFonts w:ascii="仿宋" w:eastAsia="仿宋" w:hAnsi="仿宋" w:cs="仿宋"/>
        </w:rPr>
        <w:t>万元。与上年决算数相同。</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年度本年收入决算合计</w:t>
      </w:r>
      <w:r>
        <w:rPr>
          <w:rFonts w:ascii="仿宋" w:eastAsia="仿宋" w:hAnsi="仿宋" w:cs="仿宋"/>
        </w:rPr>
        <w:t>947.81</w:t>
      </w:r>
      <w:r>
        <w:rPr>
          <w:rFonts w:ascii="仿宋" w:eastAsia="仿宋" w:hAnsi="仿宋" w:cs="仿宋"/>
        </w:rPr>
        <w:t>万元，其中：财政拨</w:t>
      </w:r>
      <w:r>
        <w:rPr>
          <w:rFonts w:ascii="仿宋" w:eastAsia="仿宋" w:hAnsi="仿宋" w:cs="仿宋"/>
        </w:rPr>
        <w:lastRenderedPageBreak/>
        <w:t>款收入</w:t>
      </w:r>
      <w:r>
        <w:rPr>
          <w:rFonts w:ascii="仿宋" w:eastAsia="仿宋" w:hAnsi="仿宋" w:cs="仿宋"/>
        </w:rPr>
        <w:t>947.81</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E1C44" w:rsidRDefault="00B46BCC">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cstate="print"/>
                    <a:stretch>
                      <a:fillRect/>
                    </a:stretch>
                  </pic:blipFill>
                  <pic:spPr>
                    <a:xfrm>
                      <a:off x="0" y="0"/>
                      <a:ext cx="6134100" cy="3429000"/>
                    </a:xfrm>
                    <a:prstGeom prst="rect">
                      <a:avLst/>
                    </a:prstGeom>
                  </pic:spPr>
                </pic:pic>
              </a:graphicData>
            </a:graphic>
          </wp:inline>
        </w:drawing>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年度本年支出决算合计</w:t>
      </w:r>
      <w:r>
        <w:rPr>
          <w:rFonts w:ascii="仿宋" w:eastAsia="仿宋" w:hAnsi="仿宋" w:cs="仿宋"/>
        </w:rPr>
        <w:t>947.81</w:t>
      </w:r>
      <w:r>
        <w:rPr>
          <w:rFonts w:ascii="仿宋" w:eastAsia="仿宋" w:hAnsi="仿宋" w:cs="仿宋"/>
        </w:rPr>
        <w:t>万元，其中：基本支出</w:t>
      </w:r>
      <w:r>
        <w:rPr>
          <w:rFonts w:ascii="仿宋" w:eastAsia="仿宋" w:hAnsi="仿宋" w:cs="仿宋"/>
        </w:rPr>
        <w:t>812.2</w:t>
      </w:r>
      <w:r>
        <w:rPr>
          <w:rFonts w:ascii="仿宋" w:eastAsia="仿宋" w:hAnsi="仿宋" w:cs="仿宋"/>
        </w:rPr>
        <w:t>万元，占</w:t>
      </w:r>
      <w:r>
        <w:rPr>
          <w:rFonts w:ascii="仿宋" w:eastAsia="仿宋" w:hAnsi="仿宋" w:cs="仿宋"/>
        </w:rPr>
        <w:t>85.69%</w:t>
      </w:r>
      <w:r>
        <w:rPr>
          <w:rFonts w:ascii="仿宋" w:eastAsia="仿宋" w:hAnsi="仿宋" w:cs="仿宋"/>
        </w:rPr>
        <w:t>；项目支出</w:t>
      </w:r>
      <w:r>
        <w:rPr>
          <w:rFonts w:ascii="仿宋" w:eastAsia="仿宋" w:hAnsi="仿宋" w:cs="仿宋"/>
        </w:rPr>
        <w:t>135.61</w:t>
      </w:r>
      <w:r>
        <w:rPr>
          <w:rFonts w:ascii="仿宋" w:eastAsia="仿宋" w:hAnsi="仿宋" w:cs="仿宋"/>
        </w:rPr>
        <w:t>万元，占</w:t>
      </w:r>
      <w:r>
        <w:rPr>
          <w:rFonts w:ascii="仿宋" w:eastAsia="仿宋" w:hAnsi="仿宋" w:cs="仿宋"/>
        </w:rPr>
        <w:t>14.31%</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E1C44" w:rsidRDefault="00B46BCC">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cstate="print"/>
                    <a:stretch>
                      <a:fillRect/>
                    </a:stretch>
                  </pic:blipFill>
                  <pic:spPr>
                    <a:xfrm>
                      <a:off x="0" y="0"/>
                      <a:ext cx="6134100" cy="3429000"/>
                    </a:xfrm>
                    <a:prstGeom prst="rect">
                      <a:avLst/>
                    </a:prstGeom>
                  </pic:spPr>
                </pic:pic>
              </a:graphicData>
            </a:graphic>
          </wp:inline>
        </w:drawing>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年度财政拨款收入、支出决算总计</w:t>
      </w:r>
      <w:r>
        <w:rPr>
          <w:rFonts w:ascii="仿宋" w:eastAsia="仿宋" w:hAnsi="仿宋" w:cs="仿宋"/>
        </w:rPr>
        <w:t>947.81</w:t>
      </w:r>
      <w:r>
        <w:rPr>
          <w:rFonts w:ascii="仿宋" w:eastAsia="仿宋" w:hAnsi="仿宋" w:cs="仿宋"/>
        </w:rPr>
        <w:t>万元。与上年相比，收、支总计各减少</w:t>
      </w:r>
      <w:r>
        <w:rPr>
          <w:rFonts w:ascii="仿宋" w:eastAsia="仿宋" w:hAnsi="仿宋" w:cs="仿宋"/>
        </w:rPr>
        <w:t>226.6</w:t>
      </w:r>
      <w:r>
        <w:rPr>
          <w:rFonts w:ascii="仿宋" w:eastAsia="仿宋" w:hAnsi="仿宋" w:cs="仿宋"/>
        </w:rPr>
        <w:t>万元，减少</w:t>
      </w:r>
      <w:r>
        <w:rPr>
          <w:rFonts w:ascii="仿宋" w:eastAsia="仿宋" w:hAnsi="仿宋" w:cs="仿宋"/>
        </w:rPr>
        <w:t>19.29%</w:t>
      </w:r>
      <w:r>
        <w:rPr>
          <w:rFonts w:ascii="仿宋" w:eastAsia="仿宋" w:hAnsi="仿宋" w:cs="仿宋"/>
        </w:rPr>
        <w:t>，变动原因：减少市立项目一个</w:t>
      </w:r>
      <w:r>
        <w:rPr>
          <w:rFonts w:ascii="仿宋" w:eastAsia="仿宋" w:hAnsi="仿宋" w:cs="仿宋"/>
        </w:rPr>
        <w:t>141.26</w:t>
      </w:r>
      <w:r>
        <w:rPr>
          <w:rFonts w:ascii="仿宋" w:eastAsia="仿宋" w:hAnsi="仿宋" w:cs="仿宋"/>
        </w:rPr>
        <w:t>万元，办公场所房租物业费费减少</w:t>
      </w:r>
      <w:r>
        <w:rPr>
          <w:rFonts w:ascii="仿宋" w:eastAsia="仿宋" w:hAnsi="仿宋" w:cs="仿宋"/>
        </w:rPr>
        <w:t>28.53</w:t>
      </w:r>
      <w:r>
        <w:rPr>
          <w:rFonts w:ascii="仿宋" w:eastAsia="仿宋" w:hAnsi="仿宋" w:cs="仿宋"/>
        </w:rPr>
        <w:t>万元，</w:t>
      </w:r>
      <w:r>
        <w:rPr>
          <w:rFonts w:ascii="仿宋" w:eastAsia="仿宋" w:hAnsi="仿宋" w:cs="仿宋"/>
        </w:rPr>
        <w:t>24</w:t>
      </w:r>
      <w:r>
        <w:rPr>
          <w:rFonts w:ascii="仿宋" w:eastAsia="仿宋" w:hAnsi="仿宋" w:cs="仿宋"/>
        </w:rPr>
        <w:t>年有人员退休人员费用及公用经费等相应减少等。</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年度财政拨款支出决算</w:t>
      </w:r>
      <w:r>
        <w:rPr>
          <w:rFonts w:ascii="仿宋" w:eastAsia="仿宋" w:hAnsi="仿宋" w:cs="仿宋"/>
        </w:rPr>
        <w:t>947.81</w:t>
      </w:r>
      <w:r>
        <w:rPr>
          <w:rFonts w:ascii="仿宋" w:eastAsia="仿宋" w:hAnsi="仿宋" w:cs="仿宋"/>
        </w:rPr>
        <w:t>万元，占本年支出合计的</w:t>
      </w:r>
      <w:r>
        <w:rPr>
          <w:rFonts w:ascii="仿宋" w:eastAsia="仿宋" w:hAnsi="仿宋" w:cs="仿宋"/>
        </w:rPr>
        <w:t>100%</w:t>
      </w:r>
      <w:r>
        <w:rPr>
          <w:rFonts w:ascii="仿宋" w:eastAsia="仿宋" w:hAnsi="仿宋" w:cs="仿宋"/>
        </w:rPr>
        <w:t>。与</w:t>
      </w:r>
      <w:r>
        <w:rPr>
          <w:rFonts w:ascii="仿宋" w:eastAsia="仿宋" w:hAnsi="仿宋" w:cs="仿宋"/>
        </w:rPr>
        <w:t>2024</w:t>
      </w:r>
      <w:r>
        <w:rPr>
          <w:rFonts w:ascii="仿宋" w:eastAsia="仿宋" w:hAnsi="仿宋" w:cs="仿宋"/>
        </w:rPr>
        <w:t>年度财政拨款支出年初预算</w:t>
      </w:r>
      <w:r>
        <w:rPr>
          <w:rFonts w:ascii="仿宋" w:eastAsia="仿宋" w:hAnsi="仿宋" w:cs="仿宋"/>
        </w:rPr>
        <w:t>931.34</w:t>
      </w:r>
      <w:r>
        <w:rPr>
          <w:rFonts w:ascii="仿宋" w:eastAsia="仿宋" w:hAnsi="仿宋" w:cs="仿宋"/>
        </w:rPr>
        <w:t>万元相</w:t>
      </w:r>
      <w:r>
        <w:rPr>
          <w:rFonts w:ascii="仿宋" w:eastAsia="仿宋" w:hAnsi="仿宋" w:cs="仿宋"/>
        </w:rPr>
        <w:lastRenderedPageBreak/>
        <w:t>比，完成年初预算的</w:t>
      </w:r>
      <w:r>
        <w:rPr>
          <w:rFonts w:ascii="仿宋" w:eastAsia="仿宋" w:hAnsi="仿宋" w:cs="仿宋"/>
        </w:rPr>
        <w:t>101.77%</w:t>
      </w:r>
      <w:r>
        <w:rPr>
          <w:rFonts w:ascii="仿宋" w:eastAsia="仿宋" w:hAnsi="仿宋" w:cs="仿宋"/>
        </w:rPr>
        <w:t>。其中：</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政府办公厅（室）及相关机构事务（款）一般行政管理事务（项）。年初预算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0.16</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万元，无法计算完成比率）决算数与年初预算数的差异原因：因公出</w:t>
      </w:r>
      <w:proofErr w:type="gramStart"/>
      <w:r>
        <w:rPr>
          <w:rFonts w:ascii="仿宋" w:eastAsia="仿宋" w:hAnsi="仿宋" w:cs="仿宋"/>
        </w:rPr>
        <w:t>国经费</w:t>
      </w:r>
      <w:proofErr w:type="gramEnd"/>
      <w:r>
        <w:rPr>
          <w:rFonts w:ascii="仿宋" w:eastAsia="仿宋" w:hAnsi="仿宋" w:cs="仿宋"/>
        </w:rPr>
        <w:t>略有差额，增加一个项目经费</w:t>
      </w:r>
      <w:r>
        <w:rPr>
          <w:rFonts w:ascii="仿宋" w:eastAsia="仿宋" w:hAnsi="仿宋" w:cs="仿宋"/>
        </w:rPr>
        <w:t>0.16</w:t>
      </w:r>
      <w:r>
        <w:rPr>
          <w:rFonts w:ascii="仿宋" w:eastAsia="仿宋" w:hAnsi="仿宋" w:cs="仿宋"/>
        </w:rPr>
        <w:t>万元。</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商贸事务（款）行政运行（项）。年初预算</w:t>
      </w:r>
      <w:r>
        <w:rPr>
          <w:rFonts w:ascii="仿宋" w:eastAsia="仿宋" w:hAnsi="仿宋" w:cs="仿宋"/>
        </w:rPr>
        <w:t>619.08</w:t>
      </w:r>
      <w:r>
        <w:rPr>
          <w:rFonts w:ascii="仿宋" w:eastAsia="仿宋" w:hAnsi="仿宋" w:cs="仿宋"/>
        </w:rPr>
        <w:t>万元，支出决算</w:t>
      </w:r>
      <w:r>
        <w:rPr>
          <w:rFonts w:ascii="仿宋" w:eastAsia="仿宋" w:hAnsi="仿宋" w:cs="仿宋"/>
        </w:rPr>
        <w:t>478.62</w:t>
      </w:r>
      <w:r>
        <w:rPr>
          <w:rFonts w:ascii="仿宋" w:eastAsia="仿宋" w:hAnsi="仿宋" w:cs="仿宋"/>
        </w:rPr>
        <w:t>万元，完成年初预算的</w:t>
      </w:r>
      <w:r>
        <w:rPr>
          <w:rFonts w:ascii="仿宋" w:eastAsia="仿宋" w:hAnsi="仿宋" w:cs="仿宋"/>
        </w:rPr>
        <w:t>77.31%</w:t>
      </w:r>
      <w:r>
        <w:rPr>
          <w:rFonts w:ascii="仿宋" w:eastAsia="仿宋" w:hAnsi="仿宋" w:cs="仿宋"/>
        </w:rPr>
        <w:t>。决算数与年初预算</w:t>
      </w:r>
      <w:r>
        <w:rPr>
          <w:rFonts w:ascii="仿宋" w:eastAsia="仿宋" w:hAnsi="仿宋" w:cs="仿宋"/>
        </w:rPr>
        <w:t>数的差异原因：在预算制定中，此项差异列在了商贸事物（款）行政运行（项）中，在决算制定中重新调整为商贸事物（款）一般行政管理事物（项）。</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商贸事务（款）一般行政管理事务（项）。年初预算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135.45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万元，无法计算完成比率）决算数与年初预算数的差异原因：在预算制定中，此项差异列在了商贸事物（款）行政运行（项）中，在决算制定中重新调整为商贸事物（款）一般行政管理事物（项）。</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（二）社会保障和就业支出（类）</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0</w:t>
      </w:r>
      <w:r>
        <w:rPr>
          <w:rFonts w:ascii="仿宋" w:eastAsia="仿宋" w:hAnsi="仿宋" w:cs="仿宋"/>
        </w:rPr>
        <w:t>万元，</w:t>
      </w:r>
      <w:r>
        <w:rPr>
          <w:rFonts w:ascii="仿宋" w:eastAsia="仿宋" w:hAnsi="仿宋" w:cs="仿宋"/>
        </w:rPr>
        <w:t>支出决算</w:t>
      </w:r>
      <w:r>
        <w:rPr>
          <w:rFonts w:ascii="仿宋" w:eastAsia="仿宋" w:hAnsi="仿宋" w:cs="仿宋"/>
        </w:rPr>
        <w:t>11.73</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w:t>
      </w:r>
      <w:r>
        <w:rPr>
          <w:rFonts w:ascii="仿宋" w:eastAsia="仿宋" w:hAnsi="仿宋" w:cs="仿宋"/>
        </w:rPr>
        <w:lastRenderedPageBreak/>
        <w:t>中退休职工追加预算，在决算中列支，</w:t>
      </w:r>
      <w:r>
        <w:rPr>
          <w:rFonts w:ascii="仿宋" w:eastAsia="仿宋" w:hAnsi="仿宋" w:cs="仿宋"/>
        </w:rPr>
        <w:t>24</w:t>
      </w:r>
      <w:r>
        <w:rPr>
          <w:rFonts w:ascii="仿宋" w:eastAsia="仿宋" w:hAnsi="仿宋" w:cs="仿宋"/>
        </w:rPr>
        <w:t>年预算制定中未安排支出。</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57.71</w:t>
      </w:r>
      <w:r>
        <w:rPr>
          <w:rFonts w:ascii="仿宋" w:eastAsia="仿宋" w:hAnsi="仿宋" w:cs="仿宋"/>
        </w:rPr>
        <w:t>万元，支出决算</w:t>
      </w:r>
      <w:r>
        <w:rPr>
          <w:rFonts w:ascii="仿宋" w:eastAsia="仿宋" w:hAnsi="仿宋" w:cs="仿宋"/>
        </w:rPr>
        <w:t>57.71</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行政事业单位养老支出（款）机关事业单位职业年金缴费支出（项）。年初预算</w:t>
      </w:r>
      <w:r>
        <w:rPr>
          <w:rFonts w:ascii="仿宋" w:eastAsia="仿宋" w:hAnsi="仿宋" w:cs="仿宋"/>
        </w:rPr>
        <w:t>27.32</w:t>
      </w:r>
      <w:r>
        <w:rPr>
          <w:rFonts w:ascii="仿宋" w:eastAsia="仿宋" w:hAnsi="仿宋" w:cs="仿宋"/>
        </w:rPr>
        <w:t>万元，支出决算</w:t>
      </w:r>
      <w:r>
        <w:rPr>
          <w:rFonts w:ascii="仿宋" w:eastAsia="仿宋" w:hAnsi="仿宋" w:cs="仿宋"/>
        </w:rPr>
        <w:t>25.82</w:t>
      </w:r>
      <w:r>
        <w:rPr>
          <w:rFonts w:ascii="仿宋" w:eastAsia="仿宋" w:hAnsi="仿宋" w:cs="仿宋"/>
        </w:rPr>
        <w:t>万元，完成年初预算的</w:t>
      </w:r>
      <w:r>
        <w:rPr>
          <w:rFonts w:ascii="仿宋" w:eastAsia="仿宋" w:hAnsi="仿宋" w:cs="仿宋"/>
        </w:rPr>
        <w:t>94.51%</w:t>
      </w:r>
      <w:r>
        <w:rPr>
          <w:rFonts w:ascii="仿宋" w:eastAsia="仿宋" w:hAnsi="仿宋" w:cs="仿宋"/>
        </w:rPr>
        <w:t>。决算数与年初预算数的差异原因：年度按规定对</w:t>
      </w:r>
      <w:r>
        <w:rPr>
          <w:rFonts w:ascii="仿宋" w:eastAsia="仿宋" w:hAnsi="仿宋" w:cs="仿宋"/>
        </w:rPr>
        <w:t>此项进行调整。</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（三）卫生健康支出（类）</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卫生健康管理事务（款）一般行政管理事务（项）。年初预算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0.18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万元，无法计算完成比率）决算数与年初预算数的差异原因：年度按规定对此项进行调整追加。</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（四）住房保障支出（类）</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61.86</w:t>
      </w:r>
      <w:r>
        <w:rPr>
          <w:rFonts w:ascii="仿宋" w:eastAsia="仿宋" w:hAnsi="仿宋" w:cs="仿宋"/>
        </w:rPr>
        <w:t>万元，支出决算</w:t>
      </w:r>
      <w:r>
        <w:rPr>
          <w:rFonts w:ascii="仿宋" w:eastAsia="仿宋" w:hAnsi="仿宋" w:cs="仿宋"/>
        </w:rPr>
        <w:t>72.77</w:t>
      </w:r>
      <w:r>
        <w:rPr>
          <w:rFonts w:ascii="仿宋" w:eastAsia="仿宋" w:hAnsi="仿宋" w:cs="仿宋"/>
        </w:rPr>
        <w:t>万元，完成年初预算的</w:t>
      </w:r>
      <w:r>
        <w:rPr>
          <w:rFonts w:ascii="仿宋" w:eastAsia="仿宋" w:hAnsi="仿宋" w:cs="仿宋"/>
        </w:rPr>
        <w:t>117.64%</w:t>
      </w:r>
      <w:r>
        <w:rPr>
          <w:rFonts w:ascii="仿宋" w:eastAsia="仿宋" w:hAnsi="仿宋" w:cs="仿宋"/>
        </w:rPr>
        <w:t>。决算数与年初预算数的差异原因：按规定对此项进行调整追加。</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110.41</w:t>
      </w:r>
      <w:r>
        <w:rPr>
          <w:rFonts w:ascii="仿宋" w:eastAsia="仿宋" w:hAnsi="仿宋" w:cs="仿宋"/>
        </w:rPr>
        <w:t>万元，支出决算</w:t>
      </w:r>
      <w:r>
        <w:rPr>
          <w:rFonts w:ascii="仿宋" w:eastAsia="仿宋" w:hAnsi="仿宋" w:cs="仿宋"/>
        </w:rPr>
        <w:t>110.4</w:t>
      </w:r>
      <w:r>
        <w:rPr>
          <w:rFonts w:ascii="仿宋" w:eastAsia="仿宋" w:hAnsi="仿宋" w:cs="仿宋"/>
        </w:rPr>
        <w:t>1</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3.</w:t>
      </w:r>
      <w:r>
        <w:rPr>
          <w:rFonts w:ascii="仿宋" w:eastAsia="仿宋" w:hAnsi="仿宋" w:cs="仿宋"/>
        </w:rPr>
        <w:t>住房改革支出（款）购房补贴（项）。年初预算</w:t>
      </w:r>
      <w:r>
        <w:rPr>
          <w:rFonts w:ascii="仿宋" w:eastAsia="仿宋" w:hAnsi="仿宋" w:cs="仿宋"/>
        </w:rPr>
        <w:t>54.96</w:t>
      </w:r>
      <w:r>
        <w:rPr>
          <w:rFonts w:ascii="仿宋" w:eastAsia="仿宋" w:hAnsi="仿宋" w:cs="仿宋"/>
        </w:rPr>
        <w:t>万元，支出决算</w:t>
      </w:r>
      <w:r>
        <w:rPr>
          <w:rFonts w:ascii="仿宋" w:eastAsia="仿宋" w:hAnsi="仿宋" w:cs="仿宋"/>
        </w:rPr>
        <w:t>54.96</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年度财政拨款基本支出决算</w:t>
      </w:r>
      <w:r>
        <w:rPr>
          <w:rFonts w:ascii="仿宋" w:eastAsia="仿宋" w:hAnsi="仿宋" w:cs="仿宋"/>
        </w:rPr>
        <w:t>812.2</w:t>
      </w:r>
      <w:r>
        <w:rPr>
          <w:rFonts w:ascii="仿宋" w:eastAsia="仿宋" w:hAnsi="仿宋" w:cs="仿宋"/>
        </w:rPr>
        <w:t>万元，其中：</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759.86</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主要包括：基本工资、津贴补贴、奖金、机关事业单位基本养老保险缴费、职业年金缴费、职工基本医疗保险缴费、公务员医疗补助缴费、住房公积金、其他工资福利支出、退休费、其他对个人和家庭的补助。</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52.34</w:t>
      </w:r>
      <w:r>
        <w:rPr>
          <w:rFonts w:ascii="楷体" w:eastAsia="楷体" w:hAnsi="楷体" w:cs="楷体"/>
        </w:rPr>
        <w:t>万元。</w:t>
      </w:r>
      <w:r>
        <w:rPr>
          <w:rFonts w:ascii="仿宋" w:eastAsia="仿宋" w:hAnsi="仿宋" w:cs="仿宋"/>
        </w:rPr>
        <w:t>主要包括：办公费、邮电费、差旅费、因公出国（境）费用、公务接待费、工会经费、福利费、其他交通费用。</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年度一般公共预算财政拨款支出决算</w:t>
      </w:r>
      <w:r>
        <w:rPr>
          <w:rFonts w:ascii="仿宋" w:eastAsia="仿宋" w:hAnsi="仿宋" w:cs="仿宋"/>
        </w:rPr>
        <w:t>947.81</w:t>
      </w:r>
      <w:r>
        <w:rPr>
          <w:rFonts w:ascii="仿宋" w:eastAsia="仿宋" w:hAnsi="仿宋" w:cs="仿宋"/>
        </w:rPr>
        <w:t>万元。与上年相比，减少</w:t>
      </w:r>
      <w:r>
        <w:rPr>
          <w:rFonts w:ascii="仿宋" w:eastAsia="仿宋" w:hAnsi="仿宋" w:cs="仿宋"/>
        </w:rPr>
        <w:t>226.6</w:t>
      </w:r>
      <w:r>
        <w:rPr>
          <w:rFonts w:ascii="仿宋" w:eastAsia="仿宋" w:hAnsi="仿宋" w:cs="仿宋"/>
        </w:rPr>
        <w:t>万元，减少</w:t>
      </w:r>
      <w:r>
        <w:rPr>
          <w:rFonts w:ascii="仿宋" w:eastAsia="仿宋" w:hAnsi="仿宋" w:cs="仿宋"/>
        </w:rPr>
        <w:t>19.29%</w:t>
      </w:r>
      <w:r>
        <w:rPr>
          <w:rFonts w:ascii="仿宋" w:eastAsia="仿宋" w:hAnsi="仿宋" w:cs="仿宋"/>
        </w:rPr>
        <w:t>，变动原因：减少市立项目一个</w:t>
      </w:r>
      <w:r>
        <w:rPr>
          <w:rFonts w:ascii="仿宋" w:eastAsia="仿宋" w:hAnsi="仿宋" w:cs="仿宋"/>
        </w:rPr>
        <w:t>141.26</w:t>
      </w:r>
      <w:r>
        <w:rPr>
          <w:rFonts w:ascii="仿宋" w:eastAsia="仿宋" w:hAnsi="仿宋" w:cs="仿宋"/>
        </w:rPr>
        <w:t>万元，办公场所房租物业费费减少</w:t>
      </w:r>
      <w:r>
        <w:rPr>
          <w:rFonts w:ascii="仿宋" w:eastAsia="仿宋" w:hAnsi="仿宋" w:cs="仿宋"/>
        </w:rPr>
        <w:t>28.53</w:t>
      </w:r>
      <w:r>
        <w:rPr>
          <w:rFonts w:ascii="仿宋" w:eastAsia="仿宋" w:hAnsi="仿宋" w:cs="仿宋"/>
        </w:rPr>
        <w:t>万元，</w:t>
      </w:r>
      <w:r>
        <w:rPr>
          <w:rFonts w:ascii="仿宋" w:eastAsia="仿宋" w:hAnsi="仿宋" w:cs="仿宋"/>
        </w:rPr>
        <w:t>24</w:t>
      </w:r>
      <w:r>
        <w:rPr>
          <w:rFonts w:ascii="仿宋" w:eastAsia="仿宋" w:hAnsi="仿宋" w:cs="仿宋"/>
        </w:rPr>
        <w:t>年有人员退休人员费用及公用经费等相应减少等。</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年度一般公共预算财政拨款基本支出决算</w:t>
      </w:r>
      <w:r>
        <w:rPr>
          <w:rFonts w:ascii="仿宋" w:eastAsia="仿宋" w:hAnsi="仿宋" w:cs="仿宋"/>
        </w:rPr>
        <w:t>812.2</w:t>
      </w:r>
      <w:r>
        <w:rPr>
          <w:rFonts w:ascii="仿宋" w:eastAsia="仿宋" w:hAnsi="仿宋" w:cs="仿宋"/>
        </w:rPr>
        <w:t>万元，其中：</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759.86</w:t>
      </w:r>
      <w:r>
        <w:rPr>
          <w:rFonts w:ascii="楷体" w:eastAsia="楷体" w:hAnsi="楷体" w:cs="楷体"/>
        </w:rPr>
        <w:t>万元。</w:t>
      </w:r>
      <w:r>
        <w:rPr>
          <w:rFonts w:ascii="仿宋" w:eastAsia="仿宋" w:hAnsi="仿宋" w:cs="仿宋"/>
        </w:rPr>
        <w:t>主要包括：基本工资、津贴补贴、奖金、机关事业单位基本养老保险缴费、职业年金缴</w:t>
      </w:r>
      <w:r>
        <w:rPr>
          <w:rFonts w:ascii="仿宋" w:eastAsia="仿宋" w:hAnsi="仿宋" w:cs="仿宋"/>
        </w:rPr>
        <w:lastRenderedPageBreak/>
        <w:t>费、职工基本医疗保险缴费、公务员医疗补助缴费、住房公积金、其他工资福利支出、退休费、其他对个人和家庭的补助。</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52.34</w:t>
      </w:r>
      <w:r>
        <w:rPr>
          <w:rFonts w:ascii="楷体" w:eastAsia="楷体" w:hAnsi="楷体" w:cs="楷体"/>
        </w:rPr>
        <w:t>万元。</w:t>
      </w:r>
      <w:r>
        <w:rPr>
          <w:rFonts w:ascii="仿宋" w:eastAsia="仿宋" w:hAnsi="仿宋" w:cs="仿宋"/>
        </w:rPr>
        <w:t>主要包括：办公费、邮电费、差旅费、因公出国（境）费用、公务接待费、工会经费、福利费、其他交通费用。</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13.73</w:t>
      </w:r>
      <w:r>
        <w:rPr>
          <w:rFonts w:ascii="仿宋" w:eastAsia="仿宋" w:hAnsi="仿宋" w:cs="仿宋"/>
        </w:rPr>
        <w:t>万元（其中：一</w:t>
      </w:r>
      <w:r>
        <w:rPr>
          <w:rFonts w:ascii="仿宋" w:eastAsia="仿宋" w:hAnsi="仿宋" w:cs="仿宋"/>
        </w:rPr>
        <w:t>般公共预算支出</w:t>
      </w:r>
      <w:r>
        <w:rPr>
          <w:rFonts w:ascii="仿宋" w:eastAsia="仿宋" w:hAnsi="仿宋" w:cs="仿宋"/>
        </w:rPr>
        <w:t>13.73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15.94</w:t>
      </w:r>
      <w:r>
        <w:rPr>
          <w:rFonts w:ascii="仿宋" w:eastAsia="仿宋" w:hAnsi="仿宋" w:cs="仿宋"/>
        </w:rPr>
        <w:t>万元，变动原因：上年度有公务用车购置一台，本年度此项开支缩减。其中，因公出国（境）费支出</w:t>
      </w:r>
      <w:r>
        <w:rPr>
          <w:rFonts w:ascii="仿宋" w:eastAsia="仿宋" w:hAnsi="仿宋" w:cs="仿宋"/>
        </w:rPr>
        <w:t>12.16</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88.57%</w:t>
      </w:r>
      <w:r>
        <w:rPr>
          <w:rFonts w:ascii="仿宋" w:eastAsia="仿宋" w:hAnsi="仿宋" w:cs="仿宋"/>
        </w:rPr>
        <w:t>；公务用车购置及运行维护费支出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；公务接待费支出</w:t>
      </w:r>
      <w:r>
        <w:rPr>
          <w:rFonts w:ascii="仿宋" w:eastAsia="仿宋" w:hAnsi="仿宋" w:cs="仿宋"/>
        </w:rPr>
        <w:t>1.57</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11.43%</w:t>
      </w:r>
      <w:r>
        <w:rPr>
          <w:rFonts w:ascii="仿宋" w:eastAsia="仿宋" w:hAnsi="仿宋" w:cs="仿宋"/>
        </w:rPr>
        <w:t>。</w:t>
      </w:r>
      <w:r>
        <w:rPr>
          <w:rFonts w:ascii="仿宋" w:eastAsia="仿宋" w:hAnsi="仿宋" w:cs="仿宋"/>
        </w:rPr>
        <w:t>2024</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14.16</w:t>
      </w:r>
      <w:r>
        <w:rPr>
          <w:rFonts w:ascii="仿宋" w:eastAsia="仿宋" w:hAnsi="仿宋" w:cs="仿宋"/>
        </w:rPr>
        <w:t>万元（其中：一般公共预算支出</w:t>
      </w:r>
      <w:r>
        <w:rPr>
          <w:rFonts w:ascii="仿宋" w:eastAsia="仿宋" w:hAnsi="仿宋" w:cs="仿宋"/>
        </w:rPr>
        <w:t>14.16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w:t>
      </w:r>
      <w:r>
        <w:rPr>
          <w:rFonts w:ascii="仿宋" w:eastAsia="仿宋" w:hAnsi="仿宋" w:cs="仿宋"/>
        </w:rPr>
        <w:t>决算数与预算数的差异原因：按厉行节约原则，尽量缩减</w:t>
      </w:r>
      <w:r>
        <w:rPr>
          <w:rFonts w:ascii="仿宋" w:eastAsia="仿宋" w:hAnsi="仿宋" w:cs="仿宋"/>
        </w:rPr>
        <w:t>“</w:t>
      </w:r>
      <w:r>
        <w:rPr>
          <w:rFonts w:ascii="仿宋" w:eastAsia="仿宋" w:hAnsi="仿宋" w:cs="仿宋"/>
        </w:rPr>
        <w:t>三公经费</w:t>
      </w:r>
      <w:r>
        <w:rPr>
          <w:rFonts w:ascii="仿宋" w:eastAsia="仿宋" w:hAnsi="仿宋" w:cs="仿宋"/>
        </w:rPr>
        <w:t>”</w:t>
      </w:r>
      <w:r>
        <w:rPr>
          <w:rFonts w:ascii="仿宋" w:eastAsia="仿宋" w:hAnsi="仿宋" w:cs="仿宋"/>
        </w:rPr>
        <w:t>支出，本年度支出比预算略有减少。</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12.16</w:t>
      </w:r>
      <w:r>
        <w:rPr>
          <w:rFonts w:ascii="仿宋" w:eastAsia="仿宋" w:hAnsi="仿宋" w:cs="仿宋"/>
        </w:rPr>
        <w:t>万元（其中：一般公</w:t>
      </w:r>
      <w:r>
        <w:rPr>
          <w:rFonts w:ascii="仿宋" w:eastAsia="仿宋" w:hAnsi="仿宋" w:cs="仿宋"/>
        </w:rPr>
        <w:lastRenderedPageBreak/>
        <w:t>共预算支出</w:t>
      </w:r>
      <w:r>
        <w:rPr>
          <w:rFonts w:ascii="仿宋" w:eastAsia="仿宋" w:hAnsi="仿宋" w:cs="仿宋"/>
        </w:rPr>
        <w:t>12.16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12.16</w:t>
      </w:r>
      <w:r>
        <w:rPr>
          <w:rFonts w:ascii="仿宋" w:eastAsia="仿宋" w:hAnsi="仿宋" w:cs="仿宋"/>
        </w:rPr>
        <w:t>万元（其中：一般公共预算支出</w:t>
      </w:r>
      <w:r>
        <w:rPr>
          <w:rFonts w:ascii="仿宋" w:eastAsia="仿宋" w:hAnsi="仿宋" w:cs="仿宋"/>
        </w:rPr>
        <w:t>12.16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2</w:t>
      </w:r>
      <w:r>
        <w:rPr>
          <w:rFonts w:ascii="仿宋" w:eastAsia="仿宋" w:hAnsi="仿宋" w:cs="仿宋"/>
        </w:rPr>
        <w:t>个，累计</w:t>
      </w:r>
      <w:r>
        <w:rPr>
          <w:rFonts w:ascii="仿宋" w:eastAsia="仿宋" w:hAnsi="仿宋" w:cs="仿宋"/>
        </w:rPr>
        <w:t>4</w:t>
      </w:r>
      <w:r>
        <w:rPr>
          <w:rFonts w:ascii="仿宋" w:eastAsia="仿宋" w:hAnsi="仿宋" w:cs="仿宋"/>
        </w:rPr>
        <w:t>人次。开支内容：巴黎</w:t>
      </w:r>
      <w:r>
        <w:rPr>
          <w:rFonts w:ascii="仿宋" w:eastAsia="仿宋" w:hAnsi="仿宋" w:cs="仿宋"/>
        </w:rPr>
        <w:t>面料展，参展</w:t>
      </w:r>
      <w:r>
        <w:rPr>
          <w:rFonts w:ascii="仿宋" w:eastAsia="仿宋" w:hAnsi="仿宋" w:cs="仿宋"/>
        </w:rPr>
        <w:t>3</w:t>
      </w:r>
      <w:r>
        <w:rPr>
          <w:rFonts w:ascii="仿宋" w:eastAsia="仿宋" w:hAnsi="仿宋" w:cs="仿宋"/>
        </w:rPr>
        <w:t>人，匈牙利波兰经贸交流团一人参团。</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100%</w:t>
      </w:r>
      <w:r>
        <w:rPr>
          <w:rFonts w:ascii="仿宋" w:eastAsia="仿宋" w:hAnsi="仿宋" w:cs="仿宋"/>
        </w:rPr>
        <w:t>，决算数与预算数相同。其中：</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0</w:t>
      </w:r>
      <w:r>
        <w:rPr>
          <w:rFonts w:ascii="仿宋" w:eastAsia="仿宋" w:hAnsi="仿宋" w:cs="仿宋"/>
        </w:rPr>
        <w:t>万元。公务用车运行维护费主要用于按规定保留的公务用车的燃料费、维修费、</w:t>
      </w:r>
      <w:r>
        <w:rPr>
          <w:rFonts w:ascii="仿宋" w:eastAsia="仿宋" w:hAnsi="仿宋" w:cs="仿宋"/>
        </w:rPr>
        <w:t>过桥过路费、保险费、安全奖励费用等支出。截至</w:t>
      </w:r>
      <w:r>
        <w:rPr>
          <w:rFonts w:ascii="仿宋" w:eastAsia="仿宋" w:hAnsi="仿宋" w:cs="仿宋"/>
        </w:rPr>
        <w:t>2024</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1</w:t>
      </w:r>
      <w:r>
        <w:rPr>
          <w:rFonts w:ascii="仿宋" w:eastAsia="仿宋" w:hAnsi="仿宋" w:cs="仿宋"/>
        </w:rPr>
        <w:t>辆。</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2</w:t>
      </w:r>
      <w:r>
        <w:rPr>
          <w:rFonts w:ascii="仿宋" w:eastAsia="仿宋" w:hAnsi="仿宋" w:cs="仿宋"/>
        </w:rPr>
        <w:t>万元（其中：一般公共预算支出</w:t>
      </w:r>
      <w:r>
        <w:rPr>
          <w:rFonts w:ascii="仿宋" w:eastAsia="仿宋" w:hAnsi="仿宋" w:cs="仿宋"/>
        </w:rPr>
        <w:t>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1.57</w:t>
      </w:r>
      <w:r>
        <w:rPr>
          <w:rFonts w:ascii="仿宋" w:eastAsia="仿宋" w:hAnsi="仿宋" w:cs="仿宋"/>
        </w:rPr>
        <w:t>万元（其中：一般公共预算支出</w:t>
      </w:r>
      <w:r>
        <w:rPr>
          <w:rFonts w:ascii="仿宋" w:eastAsia="仿宋" w:hAnsi="仿宋" w:cs="仿宋"/>
        </w:rPr>
        <w:t>1.57</w:t>
      </w:r>
      <w:r>
        <w:rPr>
          <w:rFonts w:ascii="仿宋" w:eastAsia="仿宋" w:hAnsi="仿宋" w:cs="仿宋"/>
        </w:rPr>
        <w:lastRenderedPageBreak/>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78.5%</w:t>
      </w:r>
      <w:r>
        <w:rPr>
          <w:rFonts w:ascii="仿宋" w:eastAsia="仿宋" w:hAnsi="仿宋" w:cs="仿宋"/>
        </w:rPr>
        <w:t>，决算数与预算数的差异原因：按厉行节约原则，尽量减少公务接待开支。其中：国内公务接待支出</w:t>
      </w:r>
      <w:r>
        <w:rPr>
          <w:rFonts w:ascii="仿宋" w:eastAsia="仿宋" w:hAnsi="仿宋" w:cs="仿宋"/>
        </w:rPr>
        <w:t>1.57</w:t>
      </w:r>
      <w:r>
        <w:rPr>
          <w:rFonts w:ascii="仿宋" w:eastAsia="仿宋" w:hAnsi="仿宋" w:cs="仿宋"/>
        </w:rPr>
        <w:t>万元，接待</w:t>
      </w:r>
      <w:r>
        <w:rPr>
          <w:rFonts w:ascii="仿宋" w:eastAsia="仿宋" w:hAnsi="仿宋" w:cs="仿宋"/>
        </w:rPr>
        <w:t>8</w:t>
      </w:r>
      <w:r>
        <w:rPr>
          <w:rFonts w:ascii="仿宋" w:eastAsia="仿宋" w:hAnsi="仿宋" w:cs="仿宋"/>
        </w:rPr>
        <w:t>批次，</w:t>
      </w:r>
      <w:r>
        <w:rPr>
          <w:rFonts w:ascii="仿宋" w:eastAsia="仿宋" w:hAnsi="仿宋" w:cs="仿宋"/>
        </w:rPr>
        <w:t>80</w:t>
      </w:r>
      <w:r>
        <w:rPr>
          <w:rFonts w:ascii="仿宋" w:eastAsia="仿宋" w:hAnsi="仿宋" w:cs="仿宋"/>
        </w:rPr>
        <w:t>人次，开支内容：贸</w:t>
      </w:r>
      <w:proofErr w:type="gramStart"/>
      <w:r>
        <w:rPr>
          <w:rFonts w:ascii="仿宋" w:eastAsia="仿宋" w:hAnsi="仿宋" w:cs="仿宋"/>
        </w:rPr>
        <w:t>促系统</w:t>
      </w:r>
      <w:proofErr w:type="gramEnd"/>
      <w:r>
        <w:rPr>
          <w:rFonts w:ascii="仿宋" w:eastAsia="仿宋" w:hAnsi="仿宋" w:cs="仿宋"/>
        </w:rPr>
        <w:t>内学</w:t>
      </w:r>
      <w:r>
        <w:rPr>
          <w:rFonts w:ascii="仿宋" w:eastAsia="仿宋" w:hAnsi="仿宋" w:cs="仿宋"/>
        </w:rPr>
        <w:t>习调研接待费用等；国（境）外公务接待支出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年度财政拨款会议费支出预算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100%</w:t>
      </w:r>
      <w:r>
        <w:rPr>
          <w:rFonts w:ascii="仿宋" w:eastAsia="仿宋" w:hAnsi="仿宋" w:cs="仿宋"/>
        </w:rPr>
        <w:t>，决算数与预算数相同。</w:t>
      </w:r>
      <w:r>
        <w:rPr>
          <w:rFonts w:ascii="仿宋" w:eastAsia="仿宋" w:hAnsi="仿宋" w:cs="仿宋"/>
        </w:rPr>
        <w:t>2024</w:t>
      </w:r>
      <w:r>
        <w:rPr>
          <w:rFonts w:ascii="仿宋" w:eastAsia="仿宋" w:hAnsi="仿宋" w:cs="仿宋"/>
        </w:rPr>
        <w:t>年度全年召开会议</w:t>
      </w:r>
      <w:r>
        <w:rPr>
          <w:rFonts w:ascii="仿宋" w:eastAsia="仿宋" w:hAnsi="仿宋" w:cs="仿宋"/>
        </w:rPr>
        <w:t>0</w:t>
      </w:r>
      <w:r>
        <w:rPr>
          <w:rFonts w:ascii="仿宋" w:eastAsia="仿宋" w:hAnsi="仿宋" w:cs="仿宋"/>
        </w:rPr>
        <w:t>个，参加会议</w:t>
      </w:r>
      <w:r>
        <w:rPr>
          <w:rFonts w:ascii="仿宋" w:eastAsia="仿宋" w:hAnsi="仿宋" w:cs="仿宋"/>
        </w:rPr>
        <w:t>0</w:t>
      </w:r>
      <w:r>
        <w:rPr>
          <w:rFonts w:ascii="仿宋" w:eastAsia="仿宋" w:hAnsi="仿宋" w:cs="仿宋"/>
        </w:rPr>
        <w:t>人次。</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年度财政拨款培训费支出预算</w:t>
      </w:r>
      <w:r>
        <w:rPr>
          <w:rFonts w:ascii="仿宋" w:eastAsia="仿宋" w:hAnsi="仿宋" w:cs="仿宋"/>
        </w:rPr>
        <w:t>0</w:t>
      </w:r>
      <w:r>
        <w:rPr>
          <w:rFonts w:ascii="仿宋" w:eastAsia="仿宋" w:hAnsi="仿宋" w:cs="仿宋"/>
        </w:rPr>
        <w:t>万</w:t>
      </w:r>
      <w:r>
        <w:rPr>
          <w:rFonts w:ascii="仿宋" w:eastAsia="仿宋" w:hAnsi="仿宋" w:cs="仿宋"/>
        </w:rPr>
        <w:t>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100%</w:t>
      </w:r>
      <w:r>
        <w:rPr>
          <w:rFonts w:ascii="仿宋" w:eastAsia="仿宋" w:hAnsi="仿宋" w:cs="仿宋"/>
        </w:rPr>
        <w:t>，决算数与预算数相同。</w:t>
      </w:r>
      <w:r>
        <w:rPr>
          <w:rFonts w:ascii="仿宋" w:eastAsia="仿宋" w:hAnsi="仿宋" w:cs="仿宋"/>
        </w:rPr>
        <w:t>2024</w:t>
      </w:r>
      <w:r>
        <w:rPr>
          <w:rFonts w:ascii="仿宋" w:eastAsia="仿宋" w:hAnsi="仿宋" w:cs="仿宋"/>
        </w:rPr>
        <w:t>年度全年组织培训</w:t>
      </w:r>
      <w:r>
        <w:rPr>
          <w:rFonts w:ascii="仿宋" w:eastAsia="仿宋" w:hAnsi="仿宋" w:cs="仿宋"/>
        </w:rPr>
        <w:t>0</w:t>
      </w:r>
      <w:r>
        <w:rPr>
          <w:rFonts w:ascii="仿宋" w:eastAsia="仿宋" w:hAnsi="仿宋" w:cs="仿宋"/>
        </w:rPr>
        <w:t>个，组织培训</w:t>
      </w:r>
      <w:r>
        <w:rPr>
          <w:rFonts w:ascii="仿宋" w:eastAsia="仿宋" w:hAnsi="仿宋" w:cs="仿宋"/>
        </w:rPr>
        <w:t>0</w:t>
      </w:r>
      <w:r>
        <w:rPr>
          <w:rFonts w:ascii="仿宋" w:eastAsia="仿宋" w:hAnsi="仿宋" w:cs="仿宋"/>
        </w:rPr>
        <w:t>人次。</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w:t>
      </w:r>
      <w:r>
        <w:rPr>
          <w:rFonts w:ascii="仿宋" w:eastAsia="仿宋" w:hAnsi="仿宋" w:cs="仿宋"/>
        </w:rPr>
        <w:lastRenderedPageBreak/>
        <w:t>年决算数相同。</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年度机关运行经费支出决算</w:t>
      </w:r>
      <w:r>
        <w:rPr>
          <w:rFonts w:ascii="仿宋" w:eastAsia="仿宋" w:hAnsi="仿宋" w:cs="仿宋"/>
        </w:rPr>
        <w:t>52.34</w:t>
      </w:r>
      <w:r>
        <w:rPr>
          <w:rFonts w:ascii="仿宋" w:eastAsia="仿宋" w:hAnsi="仿宋" w:cs="仿宋"/>
        </w:rPr>
        <w:t>万元（其中：一般公共预算支出</w:t>
      </w:r>
      <w:r>
        <w:rPr>
          <w:rFonts w:ascii="仿宋" w:eastAsia="仿宋" w:hAnsi="仿宋" w:cs="仿宋"/>
        </w:rPr>
        <w:t>52.34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1.7</w:t>
      </w:r>
      <w:r>
        <w:rPr>
          <w:rFonts w:ascii="仿宋" w:eastAsia="仿宋" w:hAnsi="仿宋" w:cs="仿宋"/>
        </w:rPr>
        <w:t>万元，减少</w:t>
      </w:r>
      <w:r>
        <w:rPr>
          <w:rFonts w:ascii="仿宋" w:eastAsia="仿宋" w:hAnsi="仿宋" w:cs="仿宋"/>
        </w:rPr>
        <w:t>3.15%</w:t>
      </w:r>
      <w:r>
        <w:rPr>
          <w:rFonts w:ascii="仿宋" w:eastAsia="仿宋" w:hAnsi="仿宋" w:cs="仿宋"/>
        </w:rPr>
        <w:t>，变动原因：人员减少</w:t>
      </w:r>
      <w:proofErr w:type="gramStart"/>
      <w:r>
        <w:rPr>
          <w:rFonts w:ascii="仿宋" w:eastAsia="仿宋" w:hAnsi="仿宋" w:cs="仿宋"/>
        </w:rPr>
        <w:t>后相应</w:t>
      </w:r>
      <w:proofErr w:type="gramEnd"/>
      <w:r>
        <w:rPr>
          <w:rFonts w:ascii="仿宋" w:eastAsia="仿宋" w:hAnsi="仿宋" w:cs="仿宋"/>
        </w:rPr>
        <w:t>公用经费使用也略有减少。</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2024</w:t>
      </w:r>
      <w:r>
        <w:rPr>
          <w:rFonts w:ascii="仿宋" w:eastAsia="仿宋" w:hAnsi="仿宋" w:cs="仿宋"/>
        </w:rPr>
        <w:t>年度政府采购支出总额</w:t>
      </w:r>
      <w:r>
        <w:rPr>
          <w:rFonts w:ascii="仿宋" w:eastAsia="仿宋" w:hAnsi="仿宋" w:cs="仿宋"/>
        </w:rPr>
        <w:t>0</w:t>
      </w:r>
      <w:r>
        <w:rPr>
          <w:rFonts w:ascii="仿宋" w:eastAsia="仿宋" w:hAnsi="仿宋" w:cs="仿宋"/>
        </w:rPr>
        <w:t>万元，其中：政府采购货物支出</w:t>
      </w:r>
      <w:r>
        <w:rPr>
          <w:rFonts w:ascii="仿宋" w:eastAsia="仿宋" w:hAnsi="仿宋" w:cs="仿宋"/>
        </w:rPr>
        <w:t>0</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0</w:t>
      </w:r>
      <w:r>
        <w:rPr>
          <w:rFonts w:ascii="仿宋" w:eastAsia="仿宋" w:hAnsi="仿宋" w:cs="仿宋"/>
        </w:rPr>
        <w:t>万元。政府采购授予中</w:t>
      </w:r>
      <w:r>
        <w:rPr>
          <w:rFonts w:ascii="仿宋" w:eastAsia="仿宋" w:hAnsi="仿宋" w:cs="仿宋"/>
        </w:rPr>
        <w:t>小企业合同金额</w:t>
      </w:r>
      <w:r>
        <w:rPr>
          <w:rFonts w:ascii="仿宋" w:eastAsia="仿宋" w:hAnsi="仿宋" w:cs="仿宋"/>
        </w:rPr>
        <w:t>0</w:t>
      </w:r>
      <w:r>
        <w:rPr>
          <w:rFonts w:ascii="仿宋" w:eastAsia="仿宋" w:hAnsi="仿宋" w:cs="仿宋"/>
        </w:rPr>
        <w:t>万元，其中：授予小</w:t>
      </w:r>
      <w:proofErr w:type="gramStart"/>
      <w:r>
        <w:rPr>
          <w:rFonts w:ascii="仿宋" w:eastAsia="仿宋" w:hAnsi="仿宋" w:cs="仿宋"/>
        </w:rPr>
        <w:t>微企业</w:t>
      </w:r>
      <w:proofErr w:type="gramEnd"/>
      <w:r>
        <w:rPr>
          <w:rFonts w:ascii="仿宋" w:eastAsia="仿宋" w:hAnsi="仿宋" w:cs="仿宋"/>
        </w:rPr>
        <w:t>合同金额</w:t>
      </w:r>
      <w:r>
        <w:rPr>
          <w:rFonts w:ascii="仿宋" w:eastAsia="仿宋" w:hAnsi="仿宋" w:cs="仿宋"/>
        </w:rPr>
        <w:t>0</w:t>
      </w:r>
      <w:r>
        <w:rPr>
          <w:rFonts w:ascii="仿宋" w:eastAsia="仿宋" w:hAnsi="仿宋" w:cs="仿宋"/>
        </w:rPr>
        <w:t>万元。</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2024</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日，本部门共有车辆</w:t>
      </w:r>
      <w:r>
        <w:rPr>
          <w:rFonts w:ascii="仿宋" w:eastAsia="仿宋" w:hAnsi="仿宋" w:cs="仿宋"/>
        </w:rPr>
        <w:t>1</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辆、主要领导干部用车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6E1C44" w:rsidRDefault="00B46BCC" w:rsidP="00CF7C38">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2024</w:t>
      </w:r>
      <w:r>
        <w:rPr>
          <w:rFonts w:ascii="仿宋" w:eastAsia="仿宋" w:hAnsi="仿宋" w:cs="仿宋"/>
        </w:rPr>
        <w:t>年度，本部门共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万元；本部门未开展部门整体支出财政重点绩效评价，涉及财政性</w:t>
      </w:r>
      <w:r>
        <w:rPr>
          <w:rFonts w:ascii="仿宋" w:eastAsia="仿宋" w:hAnsi="仿宋" w:cs="仿宋"/>
        </w:rPr>
        <w:t>资金</w:t>
      </w:r>
      <w:r>
        <w:rPr>
          <w:rFonts w:ascii="仿宋" w:eastAsia="仿宋" w:hAnsi="仿宋" w:cs="仿宋"/>
        </w:rPr>
        <w:t>0</w:t>
      </w:r>
      <w:r>
        <w:rPr>
          <w:rFonts w:ascii="仿宋" w:eastAsia="仿宋" w:hAnsi="仿宋" w:cs="仿宋"/>
        </w:rPr>
        <w:t>万元。</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本部门组织所属单位共对上年度已实施完成的</w:t>
      </w:r>
      <w:r>
        <w:rPr>
          <w:rFonts w:ascii="仿宋" w:eastAsia="仿宋" w:hAnsi="仿宋" w:cs="仿宋"/>
        </w:rPr>
        <w:t>5</w:t>
      </w:r>
      <w:r>
        <w:rPr>
          <w:rFonts w:ascii="仿宋" w:eastAsia="仿宋" w:hAnsi="仿宋" w:cs="仿宋"/>
        </w:rPr>
        <w:t>个项目开展了绩效自评价，涉及财政性资金合计</w:t>
      </w:r>
      <w:r>
        <w:rPr>
          <w:rFonts w:ascii="仿宋" w:eastAsia="仿宋" w:hAnsi="仿宋" w:cs="仿宋"/>
        </w:rPr>
        <w:t>135.61</w:t>
      </w:r>
      <w:r>
        <w:rPr>
          <w:rFonts w:ascii="仿宋" w:eastAsia="仿宋" w:hAnsi="仿宋" w:cs="仿宋"/>
        </w:rPr>
        <w:t>万元；本部门组织所属单位共开展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947.81</w:t>
      </w:r>
      <w:r>
        <w:rPr>
          <w:rFonts w:ascii="仿宋" w:eastAsia="仿宋" w:hAnsi="仿宋" w:cs="仿宋"/>
        </w:rPr>
        <w:t>万元。</w:t>
      </w:r>
    </w:p>
    <w:p w:rsidR="006E1C44" w:rsidRDefault="00B46BCC">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w:t>
      </w:r>
      <w:r>
        <w:rPr>
          <w:rFonts w:ascii="仿宋" w:eastAsia="仿宋" w:hAnsi="仿宋" w:cs="仿宋"/>
        </w:rPr>
        <w:t>5</w:t>
      </w:r>
      <w:r>
        <w:rPr>
          <w:rFonts w:ascii="仿宋" w:eastAsia="仿宋" w:hAnsi="仿宋" w:cs="仿宋"/>
        </w:rPr>
        <w:t>个项目开展了部门评价，涉及财政性资金合计</w:t>
      </w:r>
      <w:r>
        <w:rPr>
          <w:rFonts w:ascii="仿宋" w:eastAsia="仿宋" w:hAnsi="仿宋" w:cs="仿宋"/>
        </w:rPr>
        <w:t>135.61</w:t>
      </w:r>
      <w:r>
        <w:rPr>
          <w:rFonts w:ascii="仿宋" w:eastAsia="仿宋" w:hAnsi="仿宋" w:cs="仿宋"/>
        </w:rPr>
        <w:t>万元；本部门开展</w:t>
      </w:r>
      <w:r>
        <w:rPr>
          <w:rFonts w:ascii="仿宋" w:eastAsia="仿宋" w:hAnsi="仿宋" w:cs="仿宋"/>
        </w:rPr>
        <w:t>1</w:t>
      </w:r>
      <w:r>
        <w:rPr>
          <w:rFonts w:ascii="仿宋" w:eastAsia="仿宋" w:hAnsi="仿宋" w:cs="仿宋"/>
        </w:rPr>
        <w:t>个部门整体支出部门评价，涉及财政性资金</w:t>
      </w:r>
      <w:r>
        <w:rPr>
          <w:rFonts w:ascii="仿宋" w:eastAsia="仿宋" w:hAnsi="仿宋" w:cs="仿宋"/>
        </w:rPr>
        <w:t>947.81</w:t>
      </w:r>
      <w:r>
        <w:rPr>
          <w:rFonts w:ascii="仿宋" w:eastAsia="仿宋" w:hAnsi="仿宋" w:cs="仿宋"/>
        </w:rPr>
        <w:t>万元。</w:t>
      </w:r>
    </w:p>
    <w:p w:rsidR="006E1C44" w:rsidRDefault="00B46BCC">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6E1C44" w:rsidRDefault="006E1C44">
      <w:pPr>
        <w:pStyle w:val="a4"/>
        <w:tabs>
          <w:tab w:val="left" w:pos="3864"/>
          <w:tab w:val="left" w:pos="6248"/>
          <w:tab w:val="left" w:pos="7386"/>
        </w:tabs>
        <w:ind w:leftChars="200" w:left="440" w:firstLineChars="206" w:firstLine="659"/>
        <w:jc w:val="both"/>
        <w:rPr>
          <w:rFonts w:ascii="仿宋" w:eastAsia="仿宋" w:hAnsi="仿宋" w:cs="仿宋"/>
        </w:rPr>
      </w:pP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w:t>
      </w:r>
      <w:proofErr w:type="gramStart"/>
      <w:r>
        <w:rPr>
          <w:rFonts w:ascii="仿宋" w:eastAsia="仿宋" w:hAnsi="仿宋" w:cs="仿宋" w:hint="eastAsia"/>
        </w:rPr>
        <w:t>类财政</w:t>
      </w:r>
      <w:proofErr w:type="gramEnd"/>
      <w:r>
        <w:rPr>
          <w:rFonts w:ascii="仿宋" w:eastAsia="仿宋" w:hAnsi="仿宋" w:cs="仿宋" w:hint="eastAsia"/>
        </w:rPr>
        <w:t>拨款，包括一般公共预算财政拨款、政府性基金预算财政拨款、国有资本经营预算财政拨款。</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w:t>
      </w:r>
      <w:r>
        <w:rPr>
          <w:rFonts w:ascii="仿宋" w:eastAsia="仿宋" w:hAnsi="仿宋" w:cs="仿宋" w:hint="eastAsia"/>
        </w:rPr>
        <w:lastRenderedPageBreak/>
        <w:t>之外开展非独立核算经营活动取得的收入。</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w:t>
      </w:r>
      <w:r>
        <w:rPr>
          <w:rFonts w:ascii="仿宋" w:eastAsia="仿宋" w:hAnsi="仿宋" w:cs="仿宋" w:hint="eastAsia"/>
        </w:rPr>
        <w:t>成日常工作任务所发生的支出，包括人员经费和公用经费。</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w:t>
      </w:r>
      <w:r>
        <w:rPr>
          <w:rFonts w:ascii="仿宋" w:eastAsia="仿宋" w:hAnsi="仿宋" w:cs="仿宋" w:hint="eastAsia"/>
        </w:rPr>
        <w:lastRenderedPageBreak/>
        <w:t>动之外开展非独立核算经营活动发生的支出。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w:t>
      </w:r>
      <w:proofErr w:type="gramStart"/>
      <w:r>
        <w:rPr>
          <w:rFonts w:ascii="仿宋" w:eastAsia="仿宋" w:hAnsi="仿宋" w:cs="仿宋" w:hint="eastAsia"/>
        </w:rPr>
        <w:t>费反映</w:t>
      </w:r>
      <w:proofErr w:type="gramEnd"/>
      <w:r>
        <w:rPr>
          <w:rFonts w:ascii="仿宋" w:eastAsia="仿宋" w:hAnsi="仿宋" w:cs="仿宋" w:hint="eastAsia"/>
        </w:rPr>
        <w:t>单位公务出国（境）的国际旅费、国外城市间交通费、住宿费、伙食费、培训费、公杂费等支出；公务用车购置及运行维护费反映单位公务用车购置支出（</w:t>
      </w:r>
      <w:proofErr w:type="gramStart"/>
      <w:r>
        <w:rPr>
          <w:rFonts w:ascii="仿宋" w:eastAsia="仿宋" w:hAnsi="仿宋" w:cs="仿宋" w:hint="eastAsia"/>
        </w:rPr>
        <w:t>含车辆</w:t>
      </w:r>
      <w:proofErr w:type="gramEnd"/>
      <w:r>
        <w:rPr>
          <w:rFonts w:ascii="仿宋" w:eastAsia="仿宋" w:hAnsi="仿宋" w:cs="仿宋" w:hint="eastAsia"/>
        </w:rPr>
        <w:t>购置税、牌照费）以及按规定保留的公务用车燃料费、维修费、过路过桥费、保险费、安全奖励费用等支出；公务接待</w:t>
      </w:r>
      <w:proofErr w:type="gramStart"/>
      <w:r>
        <w:rPr>
          <w:rFonts w:ascii="仿宋" w:eastAsia="仿宋" w:hAnsi="仿宋" w:cs="仿宋" w:hint="eastAsia"/>
        </w:rPr>
        <w:t>费反映</w:t>
      </w:r>
      <w:proofErr w:type="gramEnd"/>
      <w:r>
        <w:rPr>
          <w:rFonts w:ascii="仿宋" w:eastAsia="仿宋" w:hAnsi="仿宋" w:cs="仿宋" w:hint="eastAsia"/>
        </w:rPr>
        <w:t>单位按规定开支的各类公务接待（含外宾接待）费用。</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w:t>
      </w:r>
      <w:r>
        <w:rPr>
          <w:rFonts w:ascii="仿宋" w:eastAsia="仿宋" w:hAnsi="仿宋" w:cs="仿宋" w:hint="eastAsia"/>
        </w:rPr>
        <w:t>包括办公及印刷费、邮电费、差旅费、会议费、福利费、日常维修费、专用材料及一般设备购置费、办公用房水电费、办公用房取暖费、办公用房物业管理费、公务用车运行维护费及其他费用。</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商贸事务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商贸事务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w:t>
      </w:r>
      <w:r>
        <w:rPr>
          <w:rFonts w:ascii="仿宋" w:eastAsia="仿宋" w:hAnsi="仿宋" w:cs="仿宋" w:hint="eastAsia"/>
          <w:b/>
          <w:bCs/>
        </w:rPr>
        <w:t>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w:t>
      </w:r>
      <w:r>
        <w:rPr>
          <w:rFonts w:ascii="仿宋" w:eastAsia="仿宋" w:hAnsi="仿宋" w:cs="仿宋" w:hint="eastAsia"/>
        </w:rPr>
        <w:t>施养老保险制度由单位实际缴纳的职业年金支出。</w:t>
      </w:r>
      <w:r>
        <w:rPr>
          <w:rFonts w:ascii="仿宋" w:eastAsia="仿宋" w:hAnsi="仿宋" w:cs="仿宋" w:hint="eastAsia"/>
        </w:rPr>
        <w:t>(</w:t>
      </w:r>
      <w:proofErr w:type="gramStart"/>
      <w:r>
        <w:rPr>
          <w:rFonts w:ascii="仿宋" w:eastAsia="仿宋" w:hAnsi="仿宋" w:cs="仿宋" w:hint="eastAsia"/>
        </w:rPr>
        <w:t>含职业</w:t>
      </w:r>
      <w:proofErr w:type="gramEnd"/>
      <w:r>
        <w:rPr>
          <w:rFonts w:ascii="仿宋" w:eastAsia="仿宋" w:hAnsi="仿宋" w:cs="仿宋" w:hint="eastAsia"/>
        </w:rPr>
        <w:t>年金补记支出。）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二十五、卫生健康支出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卫生健康管理事务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w:t>
      </w:r>
      <w:r>
        <w:rPr>
          <w:rFonts w:ascii="仿宋" w:eastAsia="仿宋" w:hAnsi="仿宋" w:cs="仿宋" w:hint="eastAsia"/>
        </w:rPr>
        <w:lastRenderedPageBreak/>
        <w:t>离退休人员）</w:t>
      </w:r>
      <w:r>
        <w:rPr>
          <w:rFonts w:ascii="仿宋" w:eastAsia="仿宋" w:hAnsi="仿宋" w:cs="仿宋" w:hint="eastAsia"/>
        </w:rPr>
        <w:t>发放的租金补贴。</w:t>
      </w:r>
    </w:p>
    <w:p w:rsidR="006E1C44" w:rsidRDefault="00B46BCC">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购房补贴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反映按房改政策规定，行政事业单位向符合条件职工（含离退休人员）、军队</w:t>
      </w:r>
      <w:r>
        <w:rPr>
          <w:rFonts w:ascii="仿宋" w:eastAsia="仿宋" w:hAnsi="仿宋" w:cs="仿宋" w:hint="eastAsia"/>
        </w:rPr>
        <w:t>(</w:t>
      </w:r>
      <w:r>
        <w:rPr>
          <w:rFonts w:ascii="仿宋" w:eastAsia="仿宋" w:hAnsi="仿宋" w:cs="仿宋" w:hint="eastAsia"/>
        </w:rPr>
        <w:t>含武警</w:t>
      </w:r>
      <w:r>
        <w:rPr>
          <w:rFonts w:ascii="仿宋" w:eastAsia="仿宋" w:hAnsi="仿宋" w:cs="仿宋" w:hint="eastAsia"/>
        </w:rPr>
        <w:t>)</w:t>
      </w:r>
      <w:r>
        <w:rPr>
          <w:rFonts w:ascii="仿宋" w:eastAsia="仿宋" w:hAnsi="仿宋" w:cs="仿宋" w:hint="eastAsia"/>
        </w:rPr>
        <w:t>向转役复员离退休人员发放的用于购买住房的补贴。</w:t>
      </w:r>
    </w:p>
    <w:sectPr w:rsidR="006E1C44" w:rsidSect="006E1C44">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BCC" w:rsidRDefault="00B46BCC" w:rsidP="006E1C44">
      <w:r>
        <w:separator/>
      </w:r>
    </w:p>
  </w:endnote>
  <w:endnote w:type="continuationSeparator" w:id="0">
    <w:p w:rsidR="00B46BCC" w:rsidRDefault="00B46BCC" w:rsidP="006E1C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38" w:rsidRDefault="00CF7C3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38" w:rsidRDefault="00CF7C38">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38" w:rsidRDefault="00CF7C38">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rPr>
        <w:rFonts w:ascii="黑体" w:eastAsia="黑体" w:hAnsi="黑体" w:cs="黑体"/>
      </w:rPr>
    </w:pPr>
    <w:r w:rsidRPr="006E1C44">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6E1C44" w:rsidRDefault="006E1C44">
                <w:pPr>
                  <w:pStyle w:val="a5"/>
                  <w:rPr>
                    <w:rFonts w:ascii="黑体" w:eastAsia="黑体" w:hAnsi="黑体" w:cs="黑体"/>
                  </w:rPr>
                </w:pPr>
                <w:r>
                  <w:rPr>
                    <w:rFonts w:ascii="黑体" w:eastAsia="黑体" w:hAnsi="黑体" w:cs="黑体" w:hint="eastAsia"/>
                  </w:rPr>
                  <w:fldChar w:fldCharType="begin"/>
                </w:r>
                <w:r w:rsidR="00B46BCC">
                  <w:rPr>
                    <w:rFonts w:ascii="黑体" w:eastAsia="黑体" w:hAnsi="黑体" w:cs="黑体" w:hint="eastAsia"/>
                  </w:rPr>
                  <w:instrText xml:space="preserve"> PAGE  \* MERGEFORMAT </w:instrText>
                </w:r>
                <w:r>
                  <w:rPr>
                    <w:rFonts w:ascii="黑体" w:eastAsia="黑体" w:hAnsi="黑体" w:cs="黑体" w:hint="eastAsia"/>
                  </w:rPr>
                  <w:fldChar w:fldCharType="separate"/>
                </w:r>
                <w:r w:rsidR="00CF7C38">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rPr>
        <w:rFonts w:ascii="黑体" w:eastAsia="黑体" w:hAnsi="黑体" w:cs="黑体"/>
      </w:rPr>
    </w:pPr>
    <w:r w:rsidRPr="006E1C44">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6E1C44" w:rsidRDefault="006E1C44">
                <w:pPr>
                  <w:pStyle w:val="a5"/>
                  <w:rPr>
                    <w:rFonts w:ascii="黑体" w:eastAsia="黑体" w:hAnsi="黑体" w:cs="黑体"/>
                  </w:rPr>
                </w:pPr>
                <w:r>
                  <w:rPr>
                    <w:rFonts w:ascii="黑体" w:eastAsia="黑体" w:hAnsi="黑体" w:cs="黑体" w:hint="eastAsia"/>
                  </w:rPr>
                  <w:fldChar w:fldCharType="begin"/>
                </w:r>
                <w:r w:rsidR="00B46BCC">
                  <w:rPr>
                    <w:rFonts w:ascii="黑体" w:eastAsia="黑体" w:hAnsi="黑体" w:cs="黑体" w:hint="eastAsia"/>
                  </w:rPr>
                  <w:instrText xml:space="preserve"> PAGE  \* MERGEFORMAT </w:instrText>
                </w:r>
                <w:r>
                  <w:rPr>
                    <w:rFonts w:ascii="黑体" w:eastAsia="黑体" w:hAnsi="黑体" w:cs="黑体" w:hint="eastAsia"/>
                  </w:rPr>
                  <w:fldChar w:fldCharType="separate"/>
                </w:r>
                <w:r w:rsidR="00CF7C38">
                  <w:rPr>
                    <w:rFonts w:ascii="黑体" w:eastAsia="黑体" w:hAnsi="黑体" w:cs="黑体"/>
                    <w:noProof/>
                  </w:rPr>
                  <w:t>- 9 -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- 11 -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- 12 -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- 14 -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- 16 -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- 18 -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- 21 -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- 22 -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- 25 -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- 26 -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- 28 -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5"/>
      <w:jc w:val="center"/>
    </w:pPr>
    <w:r w:rsidRPr="006E1C44">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6E1C44" w:rsidRDefault="006E1C44">
                <w:pPr>
                  <w:pStyle w:val="a5"/>
                </w:pPr>
                <w:r>
                  <w:rPr>
                    <w:rFonts w:hint="eastAsia"/>
                  </w:rPr>
                  <w:fldChar w:fldCharType="begin"/>
                </w:r>
                <w:r w:rsidR="00B46BCC">
                  <w:rPr>
                    <w:rFonts w:hint="eastAsia"/>
                  </w:rPr>
                  <w:instrText xml:space="preserve"> PAGE  \* MERGEFORMAT </w:instrText>
                </w:r>
                <w:r>
                  <w:rPr>
                    <w:rFonts w:hint="eastAsia"/>
                  </w:rPr>
                  <w:fldChar w:fldCharType="separate"/>
                </w:r>
                <w:r w:rsidR="00CF7C38">
                  <w:rPr>
                    <w:noProof/>
                  </w:rPr>
                  <w:t>- 46 -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BCC" w:rsidRDefault="00B46BCC" w:rsidP="006E1C44">
      <w:r>
        <w:separator/>
      </w:r>
    </w:p>
  </w:footnote>
  <w:footnote w:type="continuationSeparator" w:id="0">
    <w:p w:rsidR="00B46BCC" w:rsidRDefault="00B46BCC" w:rsidP="006E1C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38" w:rsidRDefault="00CF7C3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B46BCC">
    <w:pPr>
      <w:pStyle w:val="a6"/>
      <w:pBdr>
        <w:bottom w:val="single" w:sz="4" w:space="1" w:color="000000"/>
      </w:pBdr>
      <w:jc w:val="both"/>
      <w:rPr>
        <w:lang w:val="en-US"/>
      </w:rPr>
    </w:pPr>
    <w:r>
      <w:rPr>
        <w:rFonts w:hint="eastAsia"/>
        <w:lang w:val="en-US"/>
      </w:rPr>
      <w:t>中国国际贸易促进委员会苏州市委员会</w:t>
    </w:r>
    <w:r>
      <w:rPr>
        <w:rFonts w:hint="eastAsia"/>
        <w:lang w:val="en-US"/>
      </w:rPr>
      <w:t>2024</w:t>
    </w:r>
    <w:r>
      <w:rPr>
        <w:rFonts w:hint="eastAsia"/>
        <w:lang w:val="en-US"/>
      </w:rPr>
      <w:t>年度</w:t>
    </w:r>
    <w:r>
      <w:t>部门决算公开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44" w:rsidRDefault="006E1C44">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0"/>
  <w:autoHyphenation/>
  <w:noPunctuationKerning/>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doNotExpandShiftReturn/>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6E1C44"/>
    <w:rsid w:val="007C0F2D"/>
    <w:rsid w:val="008322BB"/>
    <w:rsid w:val="00867423"/>
    <w:rsid w:val="008B5B05"/>
    <w:rsid w:val="009965EA"/>
    <w:rsid w:val="00A6752E"/>
    <w:rsid w:val="00B46BCC"/>
    <w:rsid w:val="00B92181"/>
    <w:rsid w:val="00BD7F33"/>
    <w:rsid w:val="00C15920"/>
    <w:rsid w:val="00C82582"/>
    <w:rsid w:val="00CF349C"/>
    <w:rsid w:val="00CF7C38"/>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6E1C44"/>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6E1C44"/>
    <w:pPr>
      <w:ind w:left="-40"/>
      <w:outlineLvl w:val="0"/>
    </w:pPr>
    <w:rPr>
      <w:sz w:val="52"/>
      <w:szCs w:val="52"/>
    </w:rPr>
  </w:style>
  <w:style w:type="paragraph" w:styleId="2">
    <w:name w:val="heading 2"/>
    <w:basedOn w:val="a"/>
    <w:next w:val="a"/>
    <w:uiPriority w:val="1"/>
    <w:qFormat/>
    <w:rsid w:val="006E1C44"/>
    <w:pPr>
      <w:ind w:right="18"/>
      <w:jc w:val="center"/>
      <w:outlineLvl w:val="1"/>
    </w:pPr>
    <w:rPr>
      <w:sz w:val="44"/>
      <w:szCs w:val="44"/>
    </w:rPr>
  </w:style>
  <w:style w:type="paragraph" w:styleId="3">
    <w:name w:val="heading 3"/>
    <w:basedOn w:val="a"/>
    <w:next w:val="a"/>
    <w:uiPriority w:val="1"/>
    <w:qFormat/>
    <w:rsid w:val="006E1C44"/>
    <w:pPr>
      <w:ind w:left="1"/>
      <w:jc w:val="center"/>
      <w:outlineLvl w:val="2"/>
    </w:pPr>
    <w:rPr>
      <w:sz w:val="40"/>
      <w:szCs w:val="40"/>
    </w:rPr>
  </w:style>
  <w:style w:type="paragraph" w:styleId="4">
    <w:name w:val="heading 4"/>
    <w:basedOn w:val="a"/>
    <w:next w:val="a"/>
    <w:uiPriority w:val="1"/>
    <w:qFormat/>
    <w:rsid w:val="006E1C44"/>
    <w:pPr>
      <w:jc w:val="center"/>
      <w:outlineLvl w:val="3"/>
    </w:pPr>
    <w:rPr>
      <w:sz w:val="36"/>
      <w:szCs w:val="36"/>
    </w:rPr>
  </w:style>
  <w:style w:type="paragraph" w:styleId="5">
    <w:name w:val="heading 5"/>
    <w:basedOn w:val="a"/>
    <w:next w:val="a"/>
    <w:uiPriority w:val="1"/>
    <w:qFormat/>
    <w:rsid w:val="006E1C44"/>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6E1C44"/>
    <w:pPr>
      <w:suppressLineNumbers/>
      <w:spacing w:before="120" w:after="120"/>
    </w:pPr>
    <w:rPr>
      <w:i/>
      <w:iCs/>
      <w:sz w:val="24"/>
      <w:szCs w:val="24"/>
    </w:rPr>
  </w:style>
  <w:style w:type="paragraph" w:styleId="a4">
    <w:name w:val="Body Text"/>
    <w:basedOn w:val="a"/>
    <w:uiPriority w:val="1"/>
    <w:qFormat/>
    <w:rsid w:val="006E1C44"/>
    <w:rPr>
      <w:sz w:val="32"/>
      <w:szCs w:val="32"/>
    </w:rPr>
  </w:style>
  <w:style w:type="paragraph" w:styleId="a5">
    <w:name w:val="footer"/>
    <w:basedOn w:val="a"/>
    <w:qFormat/>
    <w:rsid w:val="006E1C44"/>
    <w:pPr>
      <w:tabs>
        <w:tab w:val="center" w:pos="4153"/>
        <w:tab w:val="right" w:pos="8306"/>
      </w:tabs>
      <w:snapToGrid w:val="0"/>
    </w:pPr>
    <w:rPr>
      <w:sz w:val="18"/>
      <w:szCs w:val="18"/>
    </w:rPr>
  </w:style>
  <w:style w:type="paragraph" w:styleId="a6">
    <w:name w:val="header"/>
    <w:basedOn w:val="a"/>
    <w:qFormat/>
    <w:rsid w:val="006E1C44"/>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6E1C44"/>
  </w:style>
  <w:style w:type="table" w:styleId="a8">
    <w:name w:val="Table Grid"/>
    <w:basedOn w:val="a1"/>
    <w:qFormat/>
    <w:rsid w:val="006E1C4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6E1C44"/>
  </w:style>
  <w:style w:type="character" w:customStyle="1" w:styleId="aa">
    <w:name w:val="页眉 字符"/>
    <w:basedOn w:val="a0"/>
    <w:qFormat/>
    <w:rsid w:val="006E1C44"/>
    <w:rPr>
      <w:rFonts w:ascii="Arial Unicode MS" w:eastAsia="Arial Unicode MS" w:hAnsi="Arial Unicode MS" w:cs="Arial Unicode MS"/>
      <w:sz w:val="18"/>
      <w:szCs w:val="18"/>
      <w:lang w:val="zh-CN" w:bidi="zh-CN"/>
    </w:rPr>
  </w:style>
  <w:style w:type="character" w:customStyle="1" w:styleId="ab">
    <w:name w:val="页脚 字符"/>
    <w:basedOn w:val="a0"/>
    <w:qFormat/>
    <w:rsid w:val="006E1C44"/>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6E1C44"/>
    <w:pPr>
      <w:keepNext/>
      <w:spacing w:before="240" w:after="120"/>
    </w:pPr>
    <w:rPr>
      <w:rFonts w:ascii="Liberation Sans" w:hAnsi="Liberation Sans"/>
      <w:sz w:val="28"/>
      <w:szCs w:val="28"/>
    </w:rPr>
  </w:style>
  <w:style w:type="paragraph" w:customStyle="1" w:styleId="ad">
    <w:name w:val="索引"/>
    <w:basedOn w:val="a"/>
    <w:qFormat/>
    <w:rsid w:val="006E1C44"/>
    <w:pPr>
      <w:suppressLineNumbers/>
    </w:pPr>
  </w:style>
  <w:style w:type="paragraph" w:customStyle="1" w:styleId="ae">
    <w:name w:val="页眉与页脚"/>
    <w:basedOn w:val="a"/>
    <w:qFormat/>
    <w:rsid w:val="006E1C44"/>
  </w:style>
  <w:style w:type="paragraph" w:customStyle="1" w:styleId="10">
    <w:name w:val="列表段落1"/>
    <w:basedOn w:val="a"/>
    <w:uiPriority w:val="1"/>
    <w:qFormat/>
    <w:rsid w:val="006E1C44"/>
    <w:pPr>
      <w:ind w:left="2039" w:hanging="782"/>
    </w:pPr>
  </w:style>
  <w:style w:type="paragraph" w:customStyle="1" w:styleId="TableParagraph">
    <w:name w:val="Table Paragraph"/>
    <w:basedOn w:val="a"/>
    <w:uiPriority w:val="1"/>
    <w:qFormat/>
    <w:rsid w:val="006E1C44"/>
    <w:rPr>
      <w:rFonts w:ascii="宋体" w:eastAsia="宋体" w:hAnsi="宋体" w:cs="宋体"/>
    </w:rPr>
  </w:style>
  <w:style w:type="paragraph" w:customStyle="1" w:styleId="af">
    <w:name w:val="表格内容"/>
    <w:basedOn w:val="a"/>
    <w:qFormat/>
    <w:rsid w:val="006E1C44"/>
    <w:pPr>
      <w:suppressLineNumbers/>
    </w:pPr>
  </w:style>
  <w:style w:type="paragraph" w:customStyle="1" w:styleId="af0">
    <w:name w:val="表格标题"/>
    <w:basedOn w:val="af"/>
    <w:qFormat/>
    <w:rsid w:val="006E1C44"/>
    <w:pPr>
      <w:jc w:val="center"/>
    </w:pPr>
    <w:rPr>
      <w:b/>
      <w:bCs/>
    </w:rPr>
  </w:style>
  <w:style w:type="paragraph" w:customStyle="1" w:styleId="af1">
    <w:name w:val="预格式化的文本"/>
    <w:basedOn w:val="a"/>
    <w:qFormat/>
    <w:rsid w:val="006E1C44"/>
    <w:rPr>
      <w:rFonts w:ascii="Liberation Mono" w:eastAsia="新宋体" w:hAnsi="Liberation Mono" w:cs="Liberation Mono"/>
      <w:sz w:val="20"/>
      <w:szCs w:val="20"/>
    </w:rPr>
  </w:style>
  <w:style w:type="table" w:customStyle="1" w:styleId="TableNormal">
    <w:name w:val="Table Normal"/>
    <w:uiPriority w:val="2"/>
    <w:unhideWhenUsed/>
    <w:qFormat/>
    <w:rsid w:val="006E1C44"/>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3463</Words>
  <Characters>19745</Characters>
  <Application>Microsoft Office Word</Application>
  <DocSecurity>0</DocSecurity>
  <Lines>164</Lines>
  <Paragraphs>46</Paragraphs>
  <ScaleCrop>false</ScaleCrop>
  <Company/>
  <LinksUpToDate>false</LinksUpToDate>
  <CharactersWithSpaces>23162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PC</cp:lastModifiedBy>
  <cp:revision>2</cp:revision>
  <dcterms:created xsi:type="dcterms:W3CDTF">2025-09-24T02:22:00Z</dcterms:created>
  <dcterms:modified xsi:type="dcterms:W3CDTF">2025-09-24T02:22:00Z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A531D56D84014C68B649E63286BEA6BA_13</vt:lpwstr>
  </property>
  <property fmtid="{D5CDD505-2E9C-101B-9397-08002B2CF9AE}" pid="5" name="KSOProductBuildVer">
    <vt:lpwstr>2052-12.1.0.21541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