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3AC" w:rsidRDefault="00EF63AC">
      <w:pPr>
        <w:rPr>
          <w:rFonts w:eastAsia="仿宋_GB2312"/>
          <w:sz w:val="30"/>
        </w:rPr>
      </w:pPr>
    </w:p>
    <w:p w:rsidR="00EF63AC" w:rsidRDefault="00A70684">
      <w:pPr>
        <w:spacing w:line="360" w:lineRule="auto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苏州市市级预算部门（单位）整体支出预算绩效自评报告</w:t>
      </w:r>
    </w:p>
    <w:p w:rsidR="00EF63AC" w:rsidRDefault="00A70684">
      <w:pPr>
        <w:spacing w:line="360" w:lineRule="auto"/>
        <w:jc w:val="center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（</w:t>
      </w:r>
      <w:r>
        <w:rPr>
          <w:rFonts w:ascii="黑体" w:eastAsia="黑体" w:hint="eastAsia"/>
          <w:sz w:val="32"/>
          <w:szCs w:val="32"/>
        </w:rPr>
        <w:t>202</w:t>
      </w:r>
      <w:r>
        <w:rPr>
          <w:rFonts w:ascii="黑体" w:eastAsia="黑体" w:hint="eastAsia"/>
          <w:sz w:val="32"/>
          <w:szCs w:val="32"/>
        </w:rPr>
        <w:t>4</w:t>
      </w:r>
      <w:bookmarkStart w:id="0" w:name="_GoBack"/>
      <w:bookmarkEnd w:id="0"/>
      <w:r>
        <w:rPr>
          <w:rFonts w:ascii="黑体" w:eastAsia="黑体" w:hint="eastAsia"/>
          <w:sz w:val="32"/>
          <w:szCs w:val="32"/>
        </w:rPr>
        <w:t>年度）</w:t>
      </w:r>
    </w:p>
    <w:p w:rsidR="00EF63AC" w:rsidRDefault="00EF63AC">
      <w:pPr>
        <w:spacing w:line="360" w:lineRule="auto"/>
        <w:jc w:val="center"/>
        <w:rPr>
          <w:rFonts w:eastAsia="仿宋_GB2312"/>
          <w:sz w:val="30"/>
        </w:rPr>
      </w:pPr>
    </w:p>
    <w:p w:rsidR="00EF63AC" w:rsidRDefault="00A70684">
      <w:pPr>
        <w:spacing w:line="360" w:lineRule="auto"/>
        <w:ind w:firstLineChars="200" w:firstLine="600"/>
        <w:rPr>
          <w:rFonts w:ascii="黑体" w:eastAsia="黑体" w:hAnsi="黑体"/>
          <w:sz w:val="30"/>
        </w:rPr>
      </w:pPr>
      <w:r>
        <w:rPr>
          <w:rFonts w:ascii="黑体" w:eastAsia="黑体" w:hAnsi="黑体" w:hint="eastAsia"/>
          <w:sz w:val="30"/>
        </w:rPr>
        <w:t>一、预算部门名称：</w:t>
      </w:r>
      <w:r>
        <w:rPr>
          <w:rFonts w:ascii="宋体" w:hAnsi="宋体" w:cs="宋体" w:hint="eastAsia"/>
          <w:sz w:val="24"/>
        </w:rPr>
        <w:t>中国国际贸易促进委员会苏州市委员会</w:t>
      </w:r>
    </w:p>
    <w:p w:rsidR="00EF63AC" w:rsidRDefault="00A70684">
      <w:pPr>
        <w:spacing w:line="360" w:lineRule="auto"/>
        <w:ind w:firstLineChars="200" w:firstLine="600"/>
        <w:rPr>
          <w:rFonts w:ascii="黑体" w:eastAsia="黑体" w:hAnsi="黑体"/>
          <w:sz w:val="30"/>
        </w:rPr>
      </w:pPr>
      <w:r>
        <w:rPr>
          <w:rFonts w:ascii="黑体" w:eastAsia="黑体" w:hAnsi="黑体" w:hint="eastAsia"/>
          <w:sz w:val="30"/>
        </w:rPr>
        <w:t>二、</w:t>
      </w:r>
      <w:r>
        <w:rPr>
          <w:rFonts w:ascii="黑体" w:eastAsia="黑体" w:hAnsi="黑体"/>
          <w:sz w:val="30"/>
        </w:rPr>
        <w:t>年度履职目标完成情况</w:t>
      </w:r>
      <w:r>
        <w:rPr>
          <w:rFonts w:ascii="黑体" w:eastAsia="黑体" w:hAnsi="黑体" w:hint="eastAsia"/>
          <w:sz w:val="30"/>
        </w:rPr>
        <w:t>：</w:t>
      </w:r>
    </w:p>
    <w:p w:rsidR="00EF63AC" w:rsidRDefault="00A70684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 xml:space="preserve">2024 </w:t>
      </w:r>
      <w:r>
        <w:rPr>
          <w:rFonts w:ascii="宋体" w:hAnsi="宋体" w:cs="宋体" w:hint="eastAsia"/>
          <w:sz w:val="24"/>
        </w:rPr>
        <w:t>年，苏州市贸促会将坚持以习近平新时代中国特色社会主义思想为指导，把深入学习贯彻党的二十大精神作为首要政治任务，着力推动全市贸促工作提质增效，开拓贸促工作新实践，打造会展产业融合发展新生态，聚力提升服务中外企业新本领，深化拓展服务对外开放新路径，为服务我市外向型经济发展</w:t>
      </w:r>
      <w:proofErr w:type="gramStart"/>
      <w:r>
        <w:rPr>
          <w:rFonts w:ascii="宋体" w:hAnsi="宋体" w:cs="宋体" w:hint="eastAsia"/>
          <w:sz w:val="24"/>
        </w:rPr>
        <w:t>作出</w:t>
      </w:r>
      <w:proofErr w:type="gramEnd"/>
      <w:r>
        <w:rPr>
          <w:rFonts w:ascii="宋体" w:hAnsi="宋体" w:cs="宋体" w:hint="eastAsia"/>
          <w:sz w:val="24"/>
        </w:rPr>
        <w:t>新的贡献。</w:t>
      </w:r>
    </w:p>
    <w:p w:rsidR="00EF63AC" w:rsidRDefault="00A70684">
      <w:pPr>
        <w:spacing w:line="360" w:lineRule="auto"/>
        <w:ind w:left="600"/>
        <w:rPr>
          <w:rFonts w:ascii="黑体" w:eastAsia="黑体" w:hAnsi="黑体"/>
          <w:sz w:val="30"/>
        </w:rPr>
      </w:pPr>
      <w:r>
        <w:rPr>
          <w:rFonts w:ascii="黑体" w:eastAsia="黑体" w:hAnsi="黑体" w:hint="eastAsia"/>
          <w:sz w:val="30"/>
        </w:rPr>
        <w:t>三、部门（单位）概况</w:t>
      </w:r>
    </w:p>
    <w:p w:rsidR="00EF63AC" w:rsidRDefault="00A70684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根据部门职责分工，中国国际贸易促进委员会苏州市委员会内设四个科室，分别为办公室、法律事务部、贸易投资促进部、会务信息部，均为正科级建制。本部门下属单位无下属预算单位。</w:t>
      </w:r>
    </w:p>
    <w:p w:rsidR="00EF63AC" w:rsidRDefault="00A70684">
      <w:pPr>
        <w:spacing w:line="360" w:lineRule="auto"/>
        <w:ind w:left="600"/>
        <w:rPr>
          <w:rFonts w:ascii="黑体" w:eastAsia="黑体" w:hAnsi="黑体"/>
          <w:sz w:val="30"/>
        </w:rPr>
      </w:pPr>
      <w:r>
        <w:rPr>
          <w:rFonts w:ascii="黑体" w:eastAsia="黑体" w:hAnsi="黑体" w:hint="eastAsia"/>
          <w:sz w:val="30"/>
        </w:rPr>
        <w:t>四、部门</w:t>
      </w:r>
      <w:r>
        <w:rPr>
          <w:rFonts w:ascii="黑体" w:eastAsia="黑体" w:hAnsi="黑体"/>
          <w:sz w:val="30"/>
        </w:rPr>
        <w:t>（</w:t>
      </w:r>
      <w:r>
        <w:rPr>
          <w:rFonts w:ascii="黑体" w:eastAsia="黑体" w:hAnsi="黑体" w:hint="eastAsia"/>
          <w:sz w:val="30"/>
        </w:rPr>
        <w:t>单位</w:t>
      </w:r>
      <w:r>
        <w:rPr>
          <w:rFonts w:ascii="黑体" w:eastAsia="黑体" w:hAnsi="黑体"/>
          <w:sz w:val="30"/>
        </w:rPr>
        <w:t>）</w:t>
      </w:r>
      <w:r>
        <w:rPr>
          <w:rFonts w:ascii="黑体" w:eastAsia="黑体" w:hAnsi="黑体" w:hint="eastAsia"/>
          <w:sz w:val="30"/>
        </w:rPr>
        <w:t>整体支出绩效实现情况</w:t>
      </w:r>
    </w:p>
    <w:p w:rsidR="00EF63AC" w:rsidRDefault="00A70684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2024</w:t>
      </w:r>
      <w:r>
        <w:rPr>
          <w:rFonts w:ascii="宋体" w:hAnsi="宋体" w:cs="宋体" w:hint="eastAsia"/>
          <w:sz w:val="24"/>
        </w:rPr>
        <w:t>年度，全会全力推进服务型党组织建设，牢牢把握机关党建“围绕中心、建设队伍、服务群众”的职责定位，增强内生动力。持续加强机关内部管理我会坚持改革为要，积极推进落实贸</w:t>
      </w:r>
      <w:proofErr w:type="gramStart"/>
      <w:r>
        <w:rPr>
          <w:rFonts w:ascii="宋体" w:hAnsi="宋体" w:cs="宋体" w:hint="eastAsia"/>
          <w:sz w:val="24"/>
        </w:rPr>
        <w:t>促系统</w:t>
      </w:r>
      <w:proofErr w:type="gramEnd"/>
      <w:r>
        <w:rPr>
          <w:rFonts w:ascii="宋体" w:hAnsi="宋体" w:cs="宋体" w:hint="eastAsia"/>
          <w:sz w:val="24"/>
        </w:rPr>
        <w:t>深化改革工作，实现贸促工作良性循环。不断</w:t>
      </w:r>
      <w:proofErr w:type="gramStart"/>
      <w:r>
        <w:rPr>
          <w:rFonts w:ascii="宋体" w:hAnsi="宋体" w:cs="宋体" w:hint="eastAsia"/>
          <w:sz w:val="24"/>
        </w:rPr>
        <w:t>提升商</w:t>
      </w:r>
      <w:proofErr w:type="gramEnd"/>
      <w:r>
        <w:rPr>
          <w:rFonts w:ascii="宋体" w:hAnsi="宋体" w:cs="宋体" w:hint="eastAsia"/>
          <w:sz w:val="24"/>
        </w:rPr>
        <w:t>事法律服务能力，通过加强横向协调和融合，坚持系统观，打造“全链条、一站式”商法服务模</w:t>
      </w:r>
      <w:r>
        <w:rPr>
          <w:rFonts w:ascii="宋体" w:hAnsi="宋体" w:cs="宋体" w:hint="eastAsia"/>
          <w:sz w:val="24"/>
        </w:rPr>
        <w:t>式，助力涉外商法服务高质量发展。进一步完善国际合作交流机制，积极搭建新平台、挖掘新路径、拓展新渠道，推进全市对外贸易创新发展。提升会展产业能级，优化产业发展生态。务实高效助企</w:t>
      </w:r>
      <w:proofErr w:type="gramStart"/>
      <w:r>
        <w:rPr>
          <w:rFonts w:ascii="宋体" w:hAnsi="宋体" w:cs="宋体" w:hint="eastAsia"/>
          <w:sz w:val="24"/>
        </w:rPr>
        <w:t>纾</w:t>
      </w:r>
      <w:proofErr w:type="gramEnd"/>
      <w:r>
        <w:rPr>
          <w:rFonts w:ascii="宋体" w:hAnsi="宋体" w:cs="宋体" w:hint="eastAsia"/>
          <w:sz w:val="24"/>
        </w:rPr>
        <w:t>困，助力企业国际化发展经营。组织企业赴东南亚、欧洲经贸考察，开展国际经贸交流活动，寻求市场和合作伙伴。优化国际营商环境，为企业发展保驾护航。全面深化改革，提升系统工作能力。</w:t>
      </w:r>
    </w:p>
    <w:p w:rsidR="00EF63AC" w:rsidRDefault="00A70684">
      <w:pPr>
        <w:spacing w:line="360" w:lineRule="auto"/>
        <w:ind w:left="600"/>
        <w:rPr>
          <w:rFonts w:ascii="黑体" w:eastAsia="黑体" w:hAnsi="黑体"/>
          <w:sz w:val="30"/>
        </w:rPr>
      </w:pPr>
      <w:r>
        <w:rPr>
          <w:rFonts w:ascii="黑体" w:eastAsia="黑体" w:hAnsi="黑体" w:hint="eastAsia"/>
          <w:sz w:val="30"/>
        </w:rPr>
        <w:t>五、部门</w:t>
      </w:r>
      <w:r>
        <w:rPr>
          <w:rFonts w:ascii="黑体" w:eastAsia="黑体" w:hAnsi="黑体"/>
          <w:sz w:val="30"/>
        </w:rPr>
        <w:t>（</w:t>
      </w:r>
      <w:r>
        <w:rPr>
          <w:rFonts w:ascii="黑体" w:eastAsia="黑体" w:hAnsi="黑体" w:hint="eastAsia"/>
          <w:sz w:val="30"/>
        </w:rPr>
        <w:t>单位</w:t>
      </w:r>
      <w:r>
        <w:rPr>
          <w:rFonts w:ascii="黑体" w:eastAsia="黑体" w:hAnsi="黑体"/>
          <w:sz w:val="30"/>
        </w:rPr>
        <w:t>）</w:t>
      </w:r>
      <w:r>
        <w:rPr>
          <w:rFonts w:ascii="黑体" w:eastAsia="黑体" w:hAnsi="黑体" w:hint="eastAsia"/>
          <w:sz w:val="30"/>
        </w:rPr>
        <w:t>整体支出绩效中存</w:t>
      </w:r>
      <w:r>
        <w:rPr>
          <w:rFonts w:ascii="黑体" w:eastAsia="黑体" w:hAnsi="黑体"/>
          <w:sz w:val="30"/>
        </w:rPr>
        <w:t>在问题</w:t>
      </w:r>
      <w:r>
        <w:rPr>
          <w:rFonts w:ascii="黑体" w:eastAsia="黑体" w:hAnsi="黑体" w:hint="eastAsia"/>
          <w:sz w:val="30"/>
        </w:rPr>
        <w:t>及</w:t>
      </w:r>
      <w:r>
        <w:rPr>
          <w:rFonts w:ascii="黑体" w:eastAsia="黑体" w:hAnsi="黑体"/>
          <w:sz w:val="30"/>
        </w:rPr>
        <w:t>改进措施</w:t>
      </w:r>
    </w:p>
    <w:p w:rsidR="00EF63AC" w:rsidRDefault="00A70684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2024</w:t>
      </w:r>
      <w:r>
        <w:rPr>
          <w:rFonts w:ascii="宋体" w:hAnsi="宋体" w:cs="宋体" w:hint="eastAsia"/>
          <w:sz w:val="24"/>
        </w:rPr>
        <w:t>年度，放大贸</w:t>
      </w:r>
      <w:proofErr w:type="gramStart"/>
      <w:r>
        <w:rPr>
          <w:rFonts w:ascii="宋体" w:hAnsi="宋体" w:cs="宋体" w:hint="eastAsia"/>
          <w:sz w:val="24"/>
        </w:rPr>
        <w:t>促功能</w:t>
      </w:r>
      <w:proofErr w:type="gramEnd"/>
      <w:r>
        <w:rPr>
          <w:rFonts w:ascii="宋体" w:hAnsi="宋体" w:cs="宋体" w:hint="eastAsia"/>
          <w:sz w:val="24"/>
        </w:rPr>
        <w:t>作用、创新贸促工作机制方面仍由不足，服务大局、服务企业、代言工商的职能未能明显提升，在</w:t>
      </w:r>
      <w:r>
        <w:rPr>
          <w:rFonts w:ascii="宋体" w:hAnsi="宋体" w:cs="宋体" w:hint="eastAsia"/>
          <w:sz w:val="24"/>
        </w:rPr>
        <w:t>未来工作中，仍要积极推进这方面工作。</w:t>
      </w:r>
    </w:p>
    <w:p w:rsidR="00EF63AC" w:rsidRDefault="00A70684">
      <w:pPr>
        <w:spacing w:line="360" w:lineRule="auto"/>
        <w:ind w:left="600"/>
        <w:rPr>
          <w:rFonts w:ascii="黑体" w:eastAsia="黑体" w:hAnsi="黑体"/>
          <w:sz w:val="30"/>
        </w:rPr>
      </w:pPr>
      <w:r>
        <w:rPr>
          <w:rFonts w:ascii="黑体" w:eastAsia="黑体" w:hAnsi="黑体" w:hint="eastAsia"/>
          <w:sz w:val="30"/>
        </w:rPr>
        <w:lastRenderedPageBreak/>
        <w:t>六、</w:t>
      </w:r>
      <w:r>
        <w:rPr>
          <w:rFonts w:ascii="黑体" w:eastAsia="黑体" w:hAnsi="黑体"/>
          <w:sz w:val="30"/>
        </w:rPr>
        <w:t>绩效自评</w:t>
      </w:r>
      <w:r>
        <w:rPr>
          <w:rFonts w:ascii="黑体" w:eastAsia="黑体" w:hAnsi="黑体" w:hint="eastAsia"/>
          <w:sz w:val="30"/>
        </w:rPr>
        <w:t>结果</w:t>
      </w:r>
      <w:r>
        <w:rPr>
          <w:rFonts w:ascii="黑体" w:eastAsia="黑体" w:hAnsi="黑体"/>
          <w:sz w:val="30"/>
        </w:rPr>
        <w:t>拟应用和公开</w:t>
      </w:r>
      <w:r>
        <w:rPr>
          <w:rFonts w:ascii="黑体" w:eastAsia="黑体" w:hAnsi="黑体" w:hint="eastAsia"/>
          <w:sz w:val="30"/>
        </w:rPr>
        <w:t>情况</w:t>
      </w:r>
    </w:p>
    <w:p w:rsidR="00EF63AC" w:rsidRDefault="00A70684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绩效自评结果用于制定一下年度工作目标并按规定在相关网站公开。</w:t>
      </w:r>
    </w:p>
    <w:p w:rsidR="00EF63AC" w:rsidRDefault="00EF63AC">
      <w:pPr>
        <w:spacing w:line="360" w:lineRule="auto"/>
        <w:rPr>
          <w:rFonts w:ascii="黑体" w:eastAsia="黑体" w:hAnsi="黑体"/>
          <w:sz w:val="30"/>
        </w:rPr>
        <w:sectPr w:rsidR="00EF63AC">
          <w:headerReference w:type="even" r:id="rId7"/>
          <w:headerReference w:type="default" r:id="rId8"/>
          <w:footerReference w:type="even" r:id="rId9"/>
          <w:footerReference w:type="default" r:id="rId10"/>
          <w:pgSz w:w="11907" w:h="16840"/>
          <w:pgMar w:top="1247" w:right="1400" w:bottom="1089" w:left="1559" w:header="851" w:footer="992" w:gutter="0"/>
          <w:paperSrc w:first="15" w:other="15"/>
          <w:cols w:space="720"/>
          <w:docGrid w:type="lines" w:linePitch="312"/>
        </w:sectPr>
      </w:pPr>
    </w:p>
    <w:p w:rsidR="00EF63AC" w:rsidRDefault="00A70684">
      <w:pPr>
        <w:numPr>
          <w:ilvl w:val="0"/>
          <w:numId w:val="1"/>
        </w:numPr>
        <w:spacing w:line="360" w:lineRule="auto"/>
        <w:ind w:left="600"/>
        <w:rPr>
          <w:rFonts w:ascii="黑体" w:eastAsia="黑体" w:hAnsi="黑体"/>
          <w:sz w:val="30"/>
        </w:rPr>
      </w:pPr>
      <w:r>
        <w:rPr>
          <w:rFonts w:ascii="黑体" w:eastAsia="黑体" w:hAnsi="黑体" w:hint="eastAsia"/>
          <w:sz w:val="30"/>
        </w:rPr>
        <w:lastRenderedPageBreak/>
        <w:t>预算信息</w:t>
      </w:r>
    </w:p>
    <w:p w:rsidR="00EF63AC" w:rsidRDefault="00EF63AC">
      <w:pPr>
        <w:spacing w:line="360" w:lineRule="auto"/>
        <w:ind w:left="600"/>
        <w:rPr>
          <w:rFonts w:ascii="黑体" w:eastAsia="黑体" w:hAnsi="黑体"/>
          <w:sz w:val="30"/>
        </w:rPr>
      </w:pPr>
    </w:p>
    <w:tbl>
      <w:tblPr>
        <w:tblW w:w="144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079"/>
        <w:gridCol w:w="2268"/>
        <w:gridCol w:w="2268"/>
        <w:gridCol w:w="2268"/>
        <w:gridCol w:w="2268"/>
        <w:gridCol w:w="2268"/>
      </w:tblGrid>
      <w:tr w:rsidR="00EF63AC">
        <w:trPr>
          <w:trHeight w:val="339"/>
        </w:trPr>
        <w:tc>
          <w:tcPr>
            <w:tcW w:w="3079" w:type="dxa"/>
            <w:shd w:val="clear" w:color="000000" w:fill="BFBFBF"/>
            <w:vAlign w:val="center"/>
          </w:tcPr>
          <w:p w:rsidR="00EF63AC" w:rsidRDefault="00A7068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本年度预算资金（万元）</w:t>
            </w:r>
          </w:p>
        </w:tc>
        <w:tc>
          <w:tcPr>
            <w:tcW w:w="2268" w:type="dxa"/>
            <w:shd w:val="clear" w:color="000000" w:fill="BFBFBF"/>
            <w:vAlign w:val="center"/>
          </w:tcPr>
          <w:p w:rsidR="00EF63AC" w:rsidRDefault="00A7068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年初预算数（万元）</w:t>
            </w:r>
          </w:p>
        </w:tc>
        <w:tc>
          <w:tcPr>
            <w:tcW w:w="2268" w:type="dxa"/>
            <w:shd w:val="clear" w:color="000000" w:fill="BFBFBF"/>
            <w:vAlign w:val="center"/>
          </w:tcPr>
          <w:p w:rsidR="00EF63AC" w:rsidRDefault="00A7068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上年度结转及当年预算追加追减数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(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万元）</w:t>
            </w:r>
          </w:p>
        </w:tc>
        <w:tc>
          <w:tcPr>
            <w:tcW w:w="2268" w:type="dxa"/>
            <w:shd w:val="clear" w:color="000000" w:fill="BFBFBF"/>
            <w:vAlign w:val="center"/>
          </w:tcPr>
          <w:p w:rsidR="00EF63AC" w:rsidRDefault="00A7068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调整预算数（万元）</w:t>
            </w:r>
          </w:p>
        </w:tc>
        <w:tc>
          <w:tcPr>
            <w:tcW w:w="2268" w:type="dxa"/>
            <w:shd w:val="clear" w:color="000000" w:fill="BFBFBF"/>
            <w:vAlign w:val="center"/>
          </w:tcPr>
          <w:p w:rsidR="00EF63AC" w:rsidRDefault="00A7068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实际支出数（万元）</w:t>
            </w:r>
          </w:p>
        </w:tc>
        <w:tc>
          <w:tcPr>
            <w:tcW w:w="2268" w:type="dxa"/>
            <w:shd w:val="clear" w:color="000000" w:fill="BFBFBF"/>
            <w:vAlign w:val="center"/>
          </w:tcPr>
          <w:p w:rsidR="00EF63AC" w:rsidRDefault="00A7068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执行率（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%)</w:t>
            </w:r>
          </w:p>
        </w:tc>
      </w:tr>
      <w:tr w:rsidR="00EF63AC">
        <w:trPr>
          <w:trHeight w:val="540"/>
        </w:trPr>
        <w:tc>
          <w:tcPr>
            <w:tcW w:w="3079" w:type="dxa"/>
            <w:vAlign w:val="center"/>
          </w:tcPr>
          <w:p w:rsidR="00EF63AC" w:rsidRDefault="00A7068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预算总金额</w:t>
            </w:r>
          </w:p>
        </w:tc>
        <w:tc>
          <w:tcPr>
            <w:tcW w:w="2268" w:type="dxa"/>
            <w:vAlign w:val="center"/>
          </w:tcPr>
          <w:p w:rsidR="00EF63AC" w:rsidRDefault="00A7068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931.34</w:t>
            </w:r>
          </w:p>
        </w:tc>
        <w:tc>
          <w:tcPr>
            <w:tcW w:w="2268" w:type="dxa"/>
            <w:vAlign w:val="center"/>
          </w:tcPr>
          <w:p w:rsidR="00EF63AC" w:rsidRDefault="00A7068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16.47</w:t>
            </w:r>
          </w:p>
        </w:tc>
        <w:tc>
          <w:tcPr>
            <w:tcW w:w="2268" w:type="dxa"/>
            <w:vAlign w:val="center"/>
          </w:tcPr>
          <w:p w:rsidR="00EF63AC" w:rsidRDefault="00A7068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947.81</w:t>
            </w:r>
          </w:p>
        </w:tc>
        <w:tc>
          <w:tcPr>
            <w:tcW w:w="2268" w:type="dxa"/>
            <w:vAlign w:val="center"/>
          </w:tcPr>
          <w:p w:rsidR="00EF63AC" w:rsidRDefault="00A7068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947.81</w:t>
            </w:r>
          </w:p>
        </w:tc>
        <w:tc>
          <w:tcPr>
            <w:tcW w:w="2268" w:type="dxa"/>
            <w:vAlign w:val="center"/>
          </w:tcPr>
          <w:p w:rsidR="00EF63AC" w:rsidRDefault="00A7068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100.00%</w:t>
            </w:r>
          </w:p>
        </w:tc>
      </w:tr>
      <w:tr w:rsidR="00EF63AC">
        <w:trPr>
          <w:trHeight w:val="540"/>
        </w:trPr>
        <w:tc>
          <w:tcPr>
            <w:tcW w:w="3079" w:type="dxa"/>
            <w:vAlign w:val="center"/>
          </w:tcPr>
          <w:p w:rsidR="00EF63AC" w:rsidRDefault="00A7068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基本支出</w:t>
            </w:r>
          </w:p>
        </w:tc>
        <w:tc>
          <w:tcPr>
            <w:tcW w:w="2268" w:type="dxa"/>
            <w:vAlign w:val="center"/>
          </w:tcPr>
          <w:p w:rsidR="00EF63AC" w:rsidRDefault="00A7068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783.06</w:t>
            </w:r>
          </w:p>
        </w:tc>
        <w:tc>
          <w:tcPr>
            <w:tcW w:w="2268" w:type="dxa"/>
            <w:vAlign w:val="center"/>
          </w:tcPr>
          <w:p w:rsidR="00EF63AC" w:rsidRDefault="00A7068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29.14</w:t>
            </w:r>
          </w:p>
        </w:tc>
        <w:tc>
          <w:tcPr>
            <w:tcW w:w="2268" w:type="dxa"/>
            <w:vAlign w:val="center"/>
          </w:tcPr>
          <w:p w:rsidR="00EF63AC" w:rsidRDefault="00A7068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812.2</w:t>
            </w:r>
          </w:p>
        </w:tc>
        <w:tc>
          <w:tcPr>
            <w:tcW w:w="2268" w:type="dxa"/>
            <w:vAlign w:val="center"/>
          </w:tcPr>
          <w:p w:rsidR="00EF63AC" w:rsidRDefault="00A7068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812.2</w:t>
            </w:r>
          </w:p>
        </w:tc>
        <w:tc>
          <w:tcPr>
            <w:tcW w:w="2268" w:type="dxa"/>
            <w:vAlign w:val="center"/>
          </w:tcPr>
          <w:p w:rsidR="00EF63AC" w:rsidRDefault="00A7068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100.00%</w:t>
            </w:r>
          </w:p>
        </w:tc>
      </w:tr>
      <w:tr w:rsidR="00EF63AC">
        <w:trPr>
          <w:trHeight w:val="540"/>
        </w:trPr>
        <w:tc>
          <w:tcPr>
            <w:tcW w:w="3079" w:type="dxa"/>
            <w:vAlign w:val="center"/>
          </w:tcPr>
          <w:p w:rsidR="00EF63AC" w:rsidRDefault="00A7068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项目支出</w:t>
            </w:r>
          </w:p>
        </w:tc>
        <w:tc>
          <w:tcPr>
            <w:tcW w:w="2268" w:type="dxa"/>
            <w:vAlign w:val="center"/>
          </w:tcPr>
          <w:p w:rsidR="00EF63AC" w:rsidRDefault="00A7068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148.28</w:t>
            </w:r>
          </w:p>
        </w:tc>
        <w:tc>
          <w:tcPr>
            <w:tcW w:w="2268" w:type="dxa"/>
            <w:vAlign w:val="center"/>
          </w:tcPr>
          <w:p w:rsidR="00EF63AC" w:rsidRDefault="00A7068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-12.67</w:t>
            </w:r>
          </w:p>
        </w:tc>
        <w:tc>
          <w:tcPr>
            <w:tcW w:w="2268" w:type="dxa"/>
            <w:vAlign w:val="center"/>
          </w:tcPr>
          <w:p w:rsidR="00EF63AC" w:rsidRDefault="00A7068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135.61</w:t>
            </w:r>
          </w:p>
        </w:tc>
        <w:tc>
          <w:tcPr>
            <w:tcW w:w="2268" w:type="dxa"/>
            <w:vAlign w:val="center"/>
          </w:tcPr>
          <w:p w:rsidR="00EF63AC" w:rsidRDefault="00A7068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135.61</w:t>
            </w:r>
          </w:p>
        </w:tc>
        <w:tc>
          <w:tcPr>
            <w:tcW w:w="2268" w:type="dxa"/>
            <w:vAlign w:val="center"/>
          </w:tcPr>
          <w:p w:rsidR="00EF63AC" w:rsidRDefault="00A7068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100.00%</w:t>
            </w:r>
          </w:p>
        </w:tc>
      </w:tr>
      <w:tr w:rsidR="00EF63AC">
        <w:trPr>
          <w:trHeight w:val="540"/>
        </w:trPr>
        <w:tc>
          <w:tcPr>
            <w:tcW w:w="3079" w:type="dxa"/>
            <w:vAlign w:val="center"/>
          </w:tcPr>
          <w:p w:rsidR="00EF63AC" w:rsidRDefault="00A7068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办公场所房租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物业费</w:t>
            </w:r>
            <w:proofErr w:type="gramEnd"/>
            <w:r>
              <w:rPr>
                <w:rFonts w:ascii="宋体" w:hAnsi="宋体" w:cs="宋体" w:hint="eastAsia"/>
                <w:sz w:val="24"/>
              </w:rPr>
              <w:t>及机关食堂餐费</w:t>
            </w:r>
          </w:p>
        </w:tc>
        <w:tc>
          <w:tcPr>
            <w:tcW w:w="2268" w:type="dxa"/>
            <w:vAlign w:val="center"/>
          </w:tcPr>
          <w:p w:rsidR="00EF63AC" w:rsidRDefault="00A7068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99.21</w:t>
            </w:r>
          </w:p>
        </w:tc>
        <w:tc>
          <w:tcPr>
            <w:tcW w:w="2268" w:type="dxa"/>
            <w:vAlign w:val="center"/>
          </w:tcPr>
          <w:p w:rsidR="00EF63AC" w:rsidRDefault="00A7068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-0.43</w:t>
            </w:r>
          </w:p>
        </w:tc>
        <w:tc>
          <w:tcPr>
            <w:tcW w:w="2268" w:type="dxa"/>
            <w:vAlign w:val="center"/>
          </w:tcPr>
          <w:p w:rsidR="00EF63AC" w:rsidRDefault="00A7068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98.78</w:t>
            </w:r>
          </w:p>
        </w:tc>
        <w:tc>
          <w:tcPr>
            <w:tcW w:w="2268" w:type="dxa"/>
            <w:vAlign w:val="center"/>
          </w:tcPr>
          <w:p w:rsidR="00EF63AC" w:rsidRDefault="00A7068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98.78</w:t>
            </w:r>
          </w:p>
        </w:tc>
        <w:tc>
          <w:tcPr>
            <w:tcW w:w="2268" w:type="dxa"/>
            <w:vAlign w:val="center"/>
          </w:tcPr>
          <w:p w:rsidR="00EF63AC" w:rsidRDefault="00A7068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100.00%</w:t>
            </w:r>
          </w:p>
        </w:tc>
      </w:tr>
      <w:tr w:rsidR="00EF63AC">
        <w:trPr>
          <w:trHeight w:val="540"/>
        </w:trPr>
        <w:tc>
          <w:tcPr>
            <w:tcW w:w="3079" w:type="dxa"/>
            <w:vAlign w:val="center"/>
          </w:tcPr>
          <w:p w:rsidR="00EF63AC" w:rsidRDefault="00A7068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护航外向工作经费</w:t>
            </w:r>
          </w:p>
        </w:tc>
        <w:tc>
          <w:tcPr>
            <w:tcW w:w="2268" w:type="dxa"/>
            <w:vAlign w:val="center"/>
          </w:tcPr>
          <w:p w:rsidR="00EF63AC" w:rsidRDefault="00A7068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24.75</w:t>
            </w:r>
          </w:p>
        </w:tc>
        <w:tc>
          <w:tcPr>
            <w:tcW w:w="2268" w:type="dxa"/>
            <w:vAlign w:val="center"/>
          </w:tcPr>
          <w:p w:rsidR="00EF63AC" w:rsidRDefault="00A7068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-11.06</w:t>
            </w:r>
          </w:p>
        </w:tc>
        <w:tc>
          <w:tcPr>
            <w:tcW w:w="2268" w:type="dxa"/>
            <w:vAlign w:val="center"/>
          </w:tcPr>
          <w:p w:rsidR="00EF63AC" w:rsidRDefault="00A7068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13.69</w:t>
            </w:r>
          </w:p>
        </w:tc>
        <w:tc>
          <w:tcPr>
            <w:tcW w:w="2268" w:type="dxa"/>
            <w:vAlign w:val="center"/>
          </w:tcPr>
          <w:p w:rsidR="00EF63AC" w:rsidRDefault="00A7068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13.69</w:t>
            </w:r>
          </w:p>
        </w:tc>
        <w:tc>
          <w:tcPr>
            <w:tcW w:w="2268" w:type="dxa"/>
            <w:vAlign w:val="center"/>
          </w:tcPr>
          <w:p w:rsidR="00EF63AC" w:rsidRDefault="00A7068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100.00%</w:t>
            </w:r>
          </w:p>
        </w:tc>
      </w:tr>
      <w:tr w:rsidR="00EF63AC">
        <w:trPr>
          <w:trHeight w:val="540"/>
        </w:trPr>
        <w:tc>
          <w:tcPr>
            <w:tcW w:w="3079" w:type="dxa"/>
            <w:vAlign w:val="center"/>
          </w:tcPr>
          <w:p w:rsidR="00EF63AC" w:rsidRDefault="00A7068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落实取消货物原产地证收费签证点服务费</w:t>
            </w:r>
          </w:p>
        </w:tc>
        <w:tc>
          <w:tcPr>
            <w:tcW w:w="2268" w:type="dxa"/>
            <w:vAlign w:val="center"/>
          </w:tcPr>
          <w:p w:rsidR="00EF63AC" w:rsidRDefault="00A7068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17.5</w:t>
            </w:r>
          </w:p>
        </w:tc>
        <w:tc>
          <w:tcPr>
            <w:tcW w:w="2268" w:type="dxa"/>
            <w:vAlign w:val="center"/>
          </w:tcPr>
          <w:p w:rsidR="00EF63AC" w:rsidRDefault="00EF63AC"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268" w:type="dxa"/>
            <w:vAlign w:val="center"/>
          </w:tcPr>
          <w:p w:rsidR="00EF63AC" w:rsidRDefault="00A7068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17.5</w:t>
            </w:r>
          </w:p>
        </w:tc>
        <w:tc>
          <w:tcPr>
            <w:tcW w:w="2268" w:type="dxa"/>
            <w:vAlign w:val="center"/>
          </w:tcPr>
          <w:p w:rsidR="00EF63AC" w:rsidRDefault="00A7068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17.5</w:t>
            </w:r>
          </w:p>
        </w:tc>
        <w:tc>
          <w:tcPr>
            <w:tcW w:w="2268" w:type="dxa"/>
            <w:vAlign w:val="center"/>
          </w:tcPr>
          <w:p w:rsidR="00EF63AC" w:rsidRDefault="00A7068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100.00%</w:t>
            </w:r>
          </w:p>
        </w:tc>
      </w:tr>
      <w:tr w:rsidR="00EF63AC">
        <w:trPr>
          <w:trHeight w:val="540"/>
        </w:trPr>
        <w:tc>
          <w:tcPr>
            <w:tcW w:w="3079" w:type="dxa"/>
            <w:vAlign w:val="center"/>
          </w:tcPr>
          <w:p w:rsidR="00EF63AC" w:rsidRDefault="00A7068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党员职工活动经费</w:t>
            </w:r>
          </w:p>
        </w:tc>
        <w:tc>
          <w:tcPr>
            <w:tcW w:w="2268" w:type="dxa"/>
            <w:vAlign w:val="center"/>
          </w:tcPr>
          <w:p w:rsidR="00EF63AC" w:rsidRDefault="00A7068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2</w:t>
            </w:r>
          </w:p>
        </w:tc>
        <w:tc>
          <w:tcPr>
            <w:tcW w:w="2268" w:type="dxa"/>
            <w:vAlign w:val="center"/>
          </w:tcPr>
          <w:p w:rsidR="00EF63AC" w:rsidRDefault="00A7068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-0.88</w:t>
            </w:r>
          </w:p>
        </w:tc>
        <w:tc>
          <w:tcPr>
            <w:tcW w:w="2268" w:type="dxa"/>
            <w:vAlign w:val="center"/>
          </w:tcPr>
          <w:p w:rsidR="00EF63AC" w:rsidRDefault="00A7068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1.12</w:t>
            </w:r>
          </w:p>
        </w:tc>
        <w:tc>
          <w:tcPr>
            <w:tcW w:w="2268" w:type="dxa"/>
            <w:vAlign w:val="center"/>
          </w:tcPr>
          <w:p w:rsidR="00EF63AC" w:rsidRDefault="00A7068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1.12</w:t>
            </w:r>
          </w:p>
        </w:tc>
        <w:tc>
          <w:tcPr>
            <w:tcW w:w="2268" w:type="dxa"/>
            <w:vAlign w:val="center"/>
          </w:tcPr>
          <w:p w:rsidR="00EF63AC" w:rsidRDefault="00A7068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100.00%</w:t>
            </w:r>
          </w:p>
        </w:tc>
      </w:tr>
      <w:tr w:rsidR="00EF63AC">
        <w:trPr>
          <w:trHeight w:val="540"/>
        </w:trPr>
        <w:tc>
          <w:tcPr>
            <w:tcW w:w="3079" w:type="dxa"/>
            <w:vAlign w:val="center"/>
          </w:tcPr>
          <w:p w:rsidR="00EF63AC" w:rsidRDefault="00A7068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体检费</w:t>
            </w:r>
          </w:p>
        </w:tc>
        <w:tc>
          <w:tcPr>
            <w:tcW w:w="2268" w:type="dxa"/>
            <w:vAlign w:val="center"/>
          </w:tcPr>
          <w:p w:rsidR="00EF63AC" w:rsidRDefault="00A7068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4.82</w:t>
            </w:r>
          </w:p>
        </w:tc>
        <w:tc>
          <w:tcPr>
            <w:tcW w:w="2268" w:type="dxa"/>
            <w:vAlign w:val="center"/>
          </w:tcPr>
          <w:p w:rsidR="00EF63AC" w:rsidRDefault="00A7068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-0.47</w:t>
            </w:r>
          </w:p>
        </w:tc>
        <w:tc>
          <w:tcPr>
            <w:tcW w:w="2268" w:type="dxa"/>
            <w:vAlign w:val="center"/>
          </w:tcPr>
          <w:p w:rsidR="00EF63AC" w:rsidRDefault="00A7068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4.35</w:t>
            </w:r>
          </w:p>
        </w:tc>
        <w:tc>
          <w:tcPr>
            <w:tcW w:w="2268" w:type="dxa"/>
            <w:vAlign w:val="center"/>
          </w:tcPr>
          <w:p w:rsidR="00EF63AC" w:rsidRDefault="00A7068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4.35</w:t>
            </w:r>
          </w:p>
        </w:tc>
        <w:tc>
          <w:tcPr>
            <w:tcW w:w="2268" w:type="dxa"/>
            <w:vAlign w:val="center"/>
          </w:tcPr>
          <w:p w:rsidR="00EF63AC" w:rsidRDefault="00A7068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100.00%</w:t>
            </w:r>
          </w:p>
        </w:tc>
      </w:tr>
    </w:tbl>
    <w:p w:rsidR="00EF63AC" w:rsidRDefault="00EF63AC">
      <w:pPr>
        <w:spacing w:line="360" w:lineRule="auto"/>
        <w:ind w:left="600"/>
        <w:rPr>
          <w:rFonts w:ascii="黑体" w:eastAsia="黑体" w:hAnsi="黑体"/>
          <w:sz w:val="30"/>
        </w:rPr>
      </w:pPr>
    </w:p>
    <w:p w:rsidR="00EF63AC" w:rsidRDefault="00A70684">
      <w:pPr>
        <w:numPr>
          <w:ilvl w:val="0"/>
          <w:numId w:val="1"/>
        </w:numPr>
        <w:spacing w:line="360" w:lineRule="auto"/>
        <w:ind w:left="600"/>
        <w:rPr>
          <w:rFonts w:ascii="黑体" w:eastAsia="黑体" w:hAnsi="黑体"/>
          <w:sz w:val="30"/>
        </w:rPr>
      </w:pPr>
      <w:r>
        <w:rPr>
          <w:rFonts w:ascii="黑体" w:eastAsia="黑体" w:hAnsi="黑体" w:hint="eastAsia"/>
          <w:sz w:val="30"/>
        </w:rPr>
        <w:t>年度重点任务</w:t>
      </w:r>
    </w:p>
    <w:p w:rsidR="00EF63AC" w:rsidRDefault="00EF63AC">
      <w:pPr>
        <w:spacing w:line="360" w:lineRule="auto"/>
        <w:ind w:left="600"/>
        <w:rPr>
          <w:rFonts w:ascii="黑体" w:eastAsia="黑体" w:hAnsi="黑体"/>
          <w:sz w:val="30"/>
        </w:rPr>
      </w:pPr>
    </w:p>
    <w:tbl>
      <w:tblPr>
        <w:tblW w:w="135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19"/>
        <w:gridCol w:w="3818"/>
        <w:gridCol w:w="6280"/>
      </w:tblGrid>
      <w:tr w:rsidR="00EF63AC">
        <w:trPr>
          <w:trHeight w:val="339"/>
        </w:trPr>
        <w:tc>
          <w:tcPr>
            <w:tcW w:w="3419" w:type="dxa"/>
            <w:shd w:val="clear" w:color="000000" w:fill="BFBFBF"/>
            <w:vAlign w:val="center"/>
          </w:tcPr>
          <w:p w:rsidR="00EF63AC" w:rsidRDefault="00EF63A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  <w:p w:rsidR="00EF63AC" w:rsidRDefault="00A7068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对应部门主要职责</w:t>
            </w:r>
          </w:p>
          <w:p w:rsidR="00EF63AC" w:rsidRDefault="00EF63A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3818" w:type="dxa"/>
            <w:shd w:val="clear" w:color="000000" w:fill="BFBFBF"/>
            <w:vAlign w:val="center"/>
          </w:tcPr>
          <w:p w:rsidR="00EF63AC" w:rsidRDefault="00A7068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任务名称</w:t>
            </w:r>
          </w:p>
        </w:tc>
        <w:tc>
          <w:tcPr>
            <w:tcW w:w="6280" w:type="dxa"/>
            <w:shd w:val="clear" w:color="000000" w:fill="BFBFBF"/>
            <w:vAlign w:val="center"/>
          </w:tcPr>
          <w:p w:rsidR="00EF63AC" w:rsidRDefault="00A7068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完成情况</w:t>
            </w:r>
          </w:p>
        </w:tc>
      </w:tr>
      <w:tr w:rsidR="00EF63AC">
        <w:trPr>
          <w:trHeight w:val="608"/>
        </w:trPr>
        <w:tc>
          <w:tcPr>
            <w:tcW w:w="3419" w:type="dxa"/>
            <w:vAlign w:val="center"/>
          </w:tcPr>
          <w:p w:rsidR="00EF63AC" w:rsidRDefault="00A7068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按照“统一品牌、统一标准、统一管理”的原则，</w:t>
            </w:r>
            <w:r>
              <w:rPr>
                <w:rFonts w:ascii="宋体" w:hAnsi="宋体" w:cs="宋体" w:hint="eastAsia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sz w:val="24"/>
              </w:rPr>
              <w:t>以担当作为攻坚克难的钉钉子精神开展出口商品品牌评价，严把质量关，严格业务规范化操作，坚决杜绝违规出证。</w:t>
            </w:r>
          </w:p>
        </w:tc>
        <w:tc>
          <w:tcPr>
            <w:tcW w:w="3818" w:type="dxa"/>
            <w:vAlign w:val="center"/>
          </w:tcPr>
          <w:p w:rsidR="00EF63AC" w:rsidRDefault="00A7068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为企业境外经济纠纷协助协调仲裁</w:t>
            </w:r>
          </w:p>
        </w:tc>
        <w:tc>
          <w:tcPr>
            <w:tcW w:w="6280" w:type="dxa"/>
            <w:vAlign w:val="center"/>
          </w:tcPr>
          <w:p w:rsidR="00EF63AC" w:rsidRDefault="00A7068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为企业解困，联络法律专家为企业提供法律援助，完成本年计划</w:t>
            </w:r>
          </w:p>
        </w:tc>
      </w:tr>
      <w:tr w:rsidR="00EF63AC">
        <w:trPr>
          <w:trHeight w:val="608"/>
        </w:trPr>
        <w:tc>
          <w:tcPr>
            <w:tcW w:w="3419" w:type="dxa"/>
            <w:vAlign w:val="center"/>
          </w:tcPr>
          <w:p w:rsidR="00EF63AC" w:rsidRDefault="00A7068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对外联络与展览</w:t>
            </w:r>
          </w:p>
        </w:tc>
        <w:tc>
          <w:tcPr>
            <w:tcW w:w="3818" w:type="dxa"/>
            <w:vAlign w:val="center"/>
          </w:tcPr>
          <w:p w:rsidR="00EF63AC" w:rsidRDefault="00A7068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对国外商协会经济联络及参加国内国外展览会工作</w:t>
            </w:r>
          </w:p>
        </w:tc>
        <w:tc>
          <w:tcPr>
            <w:tcW w:w="6280" w:type="dxa"/>
            <w:vAlign w:val="center"/>
          </w:tcPr>
          <w:p w:rsidR="00EF63AC" w:rsidRDefault="00A7068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积极协作，推动国际经贸联络与合作</w:t>
            </w:r>
          </w:p>
        </w:tc>
      </w:tr>
      <w:tr w:rsidR="00EF63AC">
        <w:trPr>
          <w:trHeight w:val="608"/>
        </w:trPr>
        <w:tc>
          <w:tcPr>
            <w:tcW w:w="3419" w:type="dxa"/>
            <w:vAlign w:val="center"/>
          </w:tcPr>
          <w:p w:rsidR="00EF63AC" w:rsidRDefault="00A7068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签发优惠原产地证等</w:t>
            </w:r>
          </w:p>
        </w:tc>
        <w:tc>
          <w:tcPr>
            <w:tcW w:w="3818" w:type="dxa"/>
            <w:vAlign w:val="center"/>
          </w:tcPr>
          <w:p w:rsidR="00EF63AC" w:rsidRDefault="00A7068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按照“统一品牌、统一标准、统一管理”的原则，</w:t>
            </w:r>
            <w:r>
              <w:rPr>
                <w:rFonts w:ascii="宋体" w:hAnsi="宋体" w:cs="宋体" w:hint="eastAsia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sz w:val="24"/>
              </w:rPr>
              <w:t>以担当作为攻坚克难的钉钉子精神开展出口商品品牌评价，严把质量关，严格业务规范化操作，坚决杜绝违规出证。按照“统一品牌、统一标准、统一管理”的原则，</w:t>
            </w:r>
            <w:r>
              <w:rPr>
                <w:rFonts w:ascii="宋体" w:hAnsi="宋体" w:cs="宋体" w:hint="eastAsia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sz w:val="24"/>
              </w:rPr>
              <w:t>以担当作为攻坚克难的钉钉子精神开展出口商品品牌评价，严把质量关，严格业务规范化操作，坚决杜绝违规出证。</w:t>
            </w:r>
          </w:p>
        </w:tc>
        <w:tc>
          <w:tcPr>
            <w:tcW w:w="6280" w:type="dxa"/>
            <w:vAlign w:val="center"/>
          </w:tcPr>
          <w:p w:rsidR="00EF63AC" w:rsidRDefault="00A7068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根据企业需求，积极帮助签发各类法律证书，完成本年计划</w:t>
            </w:r>
          </w:p>
        </w:tc>
      </w:tr>
    </w:tbl>
    <w:p w:rsidR="00EF63AC" w:rsidRDefault="00EF63AC">
      <w:pPr>
        <w:spacing w:line="360" w:lineRule="auto"/>
        <w:ind w:left="600"/>
        <w:rPr>
          <w:rFonts w:ascii="黑体" w:eastAsia="黑体" w:hAnsi="黑体"/>
          <w:sz w:val="30"/>
        </w:rPr>
      </w:pPr>
    </w:p>
    <w:p w:rsidR="00EF63AC" w:rsidRDefault="00EF63AC">
      <w:pPr>
        <w:spacing w:line="360" w:lineRule="auto"/>
        <w:ind w:left="600"/>
        <w:rPr>
          <w:rFonts w:ascii="黑体" w:eastAsia="黑体" w:hAnsi="黑体"/>
          <w:sz w:val="30"/>
        </w:rPr>
      </w:pPr>
    </w:p>
    <w:p w:rsidR="00EF63AC" w:rsidRDefault="00A70684">
      <w:pPr>
        <w:numPr>
          <w:ilvl w:val="0"/>
          <w:numId w:val="1"/>
        </w:numPr>
        <w:spacing w:line="360" w:lineRule="auto"/>
        <w:ind w:left="600"/>
        <w:rPr>
          <w:rFonts w:ascii="黑体" w:eastAsia="黑体" w:hAnsi="黑体"/>
          <w:sz w:val="30"/>
        </w:rPr>
      </w:pPr>
      <w:r>
        <w:rPr>
          <w:rFonts w:ascii="黑体" w:eastAsia="黑体" w:hAnsi="黑体" w:hint="eastAsia"/>
          <w:sz w:val="30"/>
        </w:rPr>
        <w:t>部门整体自评表</w:t>
      </w:r>
    </w:p>
    <w:tbl>
      <w:tblPr>
        <w:tblpPr w:leftFromText="180" w:rightFromText="180" w:vertAnchor="text" w:horzAnchor="page" w:tblpX="1656" w:tblpY="127"/>
        <w:tblOverlap w:val="never"/>
        <w:tblW w:w="14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067"/>
        <w:gridCol w:w="2051"/>
        <w:gridCol w:w="2061"/>
        <w:gridCol w:w="1987"/>
        <w:gridCol w:w="1799"/>
        <w:gridCol w:w="1866"/>
        <w:gridCol w:w="1787"/>
        <w:gridCol w:w="1071"/>
      </w:tblGrid>
      <w:tr w:rsidR="00EF63AC">
        <w:trPr>
          <w:trHeight w:val="339"/>
        </w:trPr>
        <w:tc>
          <w:tcPr>
            <w:tcW w:w="2067" w:type="dxa"/>
            <w:shd w:val="clear" w:color="000000" w:fill="BFBFBF"/>
            <w:vAlign w:val="center"/>
          </w:tcPr>
          <w:p w:rsidR="00EF63AC" w:rsidRDefault="00EF63A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051" w:type="dxa"/>
            <w:shd w:val="clear" w:color="000000" w:fill="BFBFBF"/>
            <w:vAlign w:val="center"/>
          </w:tcPr>
          <w:p w:rsidR="00EF63AC" w:rsidRDefault="00A7068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类别</w:t>
            </w:r>
          </w:p>
        </w:tc>
        <w:tc>
          <w:tcPr>
            <w:tcW w:w="2061" w:type="dxa"/>
            <w:shd w:val="clear" w:color="000000" w:fill="BFBFBF"/>
            <w:vAlign w:val="center"/>
          </w:tcPr>
          <w:p w:rsidR="00EF63AC" w:rsidRDefault="00A7068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指标名称</w:t>
            </w:r>
          </w:p>
        </w:tc>
        <w:tc>
          <w:tcPr>
            <w:tcW w:w="1987" w:type="dxa"/>
            <w:shd w:val="clear" w:color="000000" w:fill="BFBFBF"/>
            <w:vAlign w:val="center"/>
          </w:tcPr>
          <w:p w:rsidR="00EF63AC" w:rsidRDefault="00A7068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指标目标值</w:t>
            </w:r>
          </w:p>
        </w:tc>
        <w:tc>
          <w:tcPr>
            <w:tcW w:w="1799" w:type="dxa"/>
            <w:shd w:val="clear" w:color="000000" w:fill="BFBFBF"/>
            <w:vAlign w:val="center"/>
          </w:tcPr>
          <w:p w:rsidR="00EF63AC" w:rsidRDefault="00A7068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指标完成值</w:t>
            </w:r>
          </w:p>
        </w:tc>
        <w:tc>
          <w:tcPr>
            <w:tcW w:w="1866" w:type="dxa"/>
            <w:shd w:val="clear" w:color="000000" w:fill="BFBFBF"/>
            <w:vAlign w:val="center"/>
          </w:tcPr>
          <w:p w:rsidR="00EF63AC" w:rsidRDefault="00A7068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完成值来源</w:t>
            </w:r>
          </w:p>
        </w:tc>
        <w:tc>
          <w:tcPr>
            <w:tcW w:w="1787" w:type="dxa"/>
            <w:shd w:val="clear" w:color="000000" w:fill="BFBFBF"/>
            <w:vAlign w:val="center"/>
          </w:tcPr>
          <w:p w:rsidR="00EF63AC" w:rsidRDefault="00A70684">
            <w:pPr>
              <w:widowControl/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偏差情况</w:t>
            </w:r>
          </w:p>
        </w:tc>
        <w:tc>
          <w:tcPr>
            <w:tcW w:w="1071" w:type="dxa"/>
            <w:shd w:val="clear" w:color="000000" w:fill="BFBFBF"/>
          </w:tcPr>
          <w:p w:rsidR="00EF63AC" w:rsidRDefault="00A70684">
            <w:pPr>
              <w:widowControl/>
              <w:jc w:val="center"/>
              <w:rPr>
                <w:rFonts w:ascii="黑体" w:eastAsia="黑体" w:hAnsi="黑体"/>
                <w:sz w:val="30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原因分析</w:t>
            </w:r>
          </w:p>
        </w:tc>
      </w:tr>
      <w:tr w:rsidR="00EF63AC">
        <w:trPr>
          <w:trHeight w:val="540"/>
        </w:trPr>
        <w:tc>
          <w:tcPr>
            <w:tcW w:w="2067" w:type="dxa"/>
            <w:vMerge w:val="restart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分解目标</w:t>
            </w:r>
          </w:p>
        </w:tc>
        <w:tc>
          <w:tcPr>
            <w:tcW w:w="2051" w:type="dxa"/>
            <w:vMerge w:val="restart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决策</w:t>
            </w:r>
          </w:p>
        </w:tc>
        <w:tc>
          <w:tcPr>
            <w:tcW w:w="2061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工作计划制定健全性</w:t>
            </w:r>
          </w:p>
        </w:tc>
        <w:tc>
          <w:tcPr>
            <w:tcW w:w="19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健全</w:t>
            </w:r>
          </w:p>
        </w:tc>
        <w:tc>
          <w:tcPr>
            <w:tcW w:w="1799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健全</w:t>
            </w:r>
          </w:p>
        </w:tc>
        <w:tc>
          <w:tcPr>
            <w:tcW w:w="1866" w:type="dxa"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EF63AC" w:rsidRDefault="00EF63AC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EF63AC">
        <w:trPr>
          <w:trHeight w:val="540"/>
        </w:trPr>
        <w:tc>
          <w:tcPr>
            <w:tcW w:w="2067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中长期规划制定健全性</w:t>
            </w:r>
          </w:p>
        </w:tc>
        <w:tc>
          <w:tcPr>
            <w:tcW w:w="19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健全</w:t>
            </w:r>
          </w:p>
        </w:tc>
        <w:tc>
          <w:tcPr>
            <w:tcW w:w="1799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健全</w:t>
            </w:r>
          </w:p>
        </w:tc>
        <w:tc>
          <w:tcPr>
            <w:tcW w:w="1866" w:type="dxa"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EF63AC" w:rsidRDefault="00EF63AC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EF63AC">
        <w:trPr>
          <w:trHeight w:val="540"/>
        </w:trPr>
        <w:tc>
          <w:tcPr>
            <w:tcW w:w="2067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绩效目标合理性</w:t>
            </w:r>
          </w:p>
        </w:tc>
        <w:tc>
          <w:tcPr>
            <w:tcW w:w="19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合理</w:t>
            </w:r>
          </w:p>
        </w:tc>
        <w:tc>
          <w:tcPr>
            <w:tcW w:w="1799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合理</w:t>
            </w:r>
          </w:p>
        </w:tc>
        <w:tc>
          <w:tcPr>
            <w:tcW w:w="1866" w:type="dxa"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EF63AC" w:rsidRDefault="00EF63AC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EF63AC">
        <w:trPr>
          <w:trHeight w:val="540"/>
        </w:trPr>
        <w:tc>
          <w:tcPr>
            <w:tcW w:w="2067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绩效指标明确性</w:t>
            </w:r>
          </w:p>
        </w:tc>
        <w:tc>
          <w:tcPr>
            <w:tcW w:w="19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明确</w:t>
            </w:r>
          </w:p>
        </w:tc>
        <w:tc>
          <w:tcPr>
            <w:tcW w:w="1799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明确</w:t>
            </w:r>
          </w:p>
        </w:tc>
        <w:tc>
          <w:tcPr>
            <w:tcW w:w="1866" w:type="dxa"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EF63AC" w:rsidRDefault="00EF63AC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EF63AC">
        <w:trPr>
          <w:trHeight w:val="540"/>
        </w:trPr>
        <w:tc>
          <w:tcPr>
            <w:tcW w:w="2067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预算编制规范性</w:t>
            </w:r>
          </w:p>
        </w:tc>
        <w:tc>
          <w:tcPr>
            <w:tcW w:w="19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规范</w:t>
            </w:r>
          </w:p>
        </w:tc>
        <w:tc>
          <w:tcPr>
            <w:tcW w:w="1799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规范</w:t>
            </w:r>
          </w:p>
        </w:tc>
        <w:tc>
          <w:tcPr>
            <w:tcW w:w="1866" w:type="dxa"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EF63AC" w:rsidRDefault="00EF63AC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EF63AC">
        <w:trPr>
          <w:trHeight w:val="540"/>
        </w:trPr>
        <w:tc>
          <w:tcPr>
            <w:tcW w:w="2067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预算编制科学性</w:t>
            </w:r>
          </w:p>
        </w:tc>
        <w:tc>
          <w:tcPr>
            <w:tcW w:w="19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科学</w:t>
            </w:r>
          </w:p>
        </w:tc>
        <w:tc>
          <w:tcPr>
            <w:tcW w:w="1799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科学</w:t>
            </w:r>
          </w:p>
        </w:tc>
        <w:tc>
          <w:tcPr>
            <w:tcW w:w="1866" w:type="dxa"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EF63AC" w:rsidRDefault="00EF63AC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EF63AC">
        <w:trPr>
          <w:trHeight w:val="540"/>
        </w:trPr>
        <w:tc>
          <w:tcPr>
            <w:tcW w:w="2067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restart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过程</w:t>
            </w:r>
          </w:p>
        </w:tc>
        <w:tc>
          <w:tcPr>
            <w:tcW w:w="2061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资金使用合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规</w:t>
            </w:r>
            <w:proofErr w:type="gramEnd"/>
            <w:r>
              <w:rPr>
                <w:rFonts w:ascii="宋体" w:hAnsi="宋体" w:cs="宋体" w:hint="eastAsia"/>
                <w:sz w:val="24"/>
              </w:rPr>
              <w:t>性</w:t>
            </w:r>
          </w:p>
        </w:tc>
        <w:tc>
          <w:tcPr>
            <w:tcW w:w="19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合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规</w:t>
            </w:r>
            <w:proofErr w:type="gramEnd"/>
          </w:p>
        </w:tc>
        <w:tc>
          <w:tcPr>
            <w:tcW w:w="1799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合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规</w:t>
            </w:r>
            <w:proofErr w:type="gramEnd"/>
          </w:p>
        </w:tc>
        <w:tc>
          <w:tcPr>
            <w:tcW w:w="1866" w:type="dxa"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EF63AC" w:rsidRDefault="00EF63AC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EF63AC">
        <w:trPr>
          <w:trHeight w:val="540"/>
        </w:trPr>
        <w:tc>
          <w:tcPr>
            <w:tcW w:w="2067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基础信息完善性</w:t>
            </w:r>
          </w:p>
        </w:tc>
        <w:tc>
          <w:tcPr>
            <w:tcW w:w="19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完善</w:t>
            </w:r>
          </w:p>
        </w:tc>
        <w:tc>
          <w:tcPr>
            <w:tcW w:w="1799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完善</w:t>
            </w:r>
          </w:p>
        </w:tc>
        <w:tc>
          <w:tcPr>
            <w:tcW w:w="1866" w:type="dxa"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EF63AC" w:rsidRDefault="00EF63AC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EF63AC">
        <w:trPr>
          <w:trHeight w:val="540"/>
        </w:trPr>
        <w:tc>
          <w:tcPr>
            <w:tcW w:w="2067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绩效管理覆盖率</w:t>
            </w:r>
          </w:p>
        </w:tc>
        <w:tc>
          <w:tcPr>
            <w:tcW w:w="19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0.00%</w:t>
            </w:r>
          </w:p>
        </w:tc>
        <w:tc>
          <w:tcPr>
            <w:tcW w:w="1071" w:type="dxa"/>
          </w:tcPr>
          <w:p w:rsidR="00EF63AC" w:rsidRDefault="00EF63AC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EF63AC">
        <w:trPr>
          <w:trHeight w:val="540"/>
        </w:trPr>
        <w:tc>
          <w:tcPr>
            <w:tcW w:w="2067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预决算信息公开度</w:t>
            </w:r>
          </w:p>
        </w:tc>
        <w:tc>
          <w:tcPr>
            <w:tcW w:w="19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公开</w:t>
            </w:r>
          </w:p>
        </w:tc>
        <w:tc>
          <w:tcPr>
            <w:tcW w:w="1799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公开</w:t>
            </w:r>
          </w:p>
        </w:tc>
        <w:tc>
          <w:tcPr>
            <w:tcW w:w="1866" w:type="dxa"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EF63AC" w:rsidRDefault="00EF63AC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EF63AC">
        <w:trPr>
          <w:trHeight w:val="540"/>
        </w:trPr>
        <w:tc>
          <w:tcPr>
            <w:tcW w:w="2067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非税收入管理合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规</w:t>
            </w:r>
            <w:proofErr w:type="gramEnd"/>
            <w:r>
              <w:rPr>
                <w:rFonts w:ascii="宋体" w:hAnsi="宋体" w:cs="宋体" w:hint="eastAsia"/>
                <w:sz w:val="24"/>
              </w:rPr>
              <w:t>性</w:t>
            </w:r>
          </w:p>
        </w:tc>
        <w:tc>
          <w:tcPr>
            <w:tcW w:w="19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合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规</w:t>
            </w:r>
            <w:proofErr w:type="gramEnd"/>
          </w:p>
        </w:tc>
        <w:tc>
          <w:tcPr>
            <w:tcW w:w="1799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合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规</w:t>
            </w:r>
            <w:proofErr w:type="gramEnd"/>
          </w:p>
        </w:tc>
        <w:tc>
          <w:tcPr>
            <w:tcW w:w="1866" w:type="dxa"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EF63AC" w:rsidRDefault="00EF63AC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EF63AC">
        <w:trPr>
          <w:trHeight w:val="540"/>
        </w:trPr>
        <w:tc>
          <w:tcPr>
            <w:tcW w:w="2067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预算管理制度健全性</w:t>
            </w:r>
          </w:p>
        </w:tc>
        <w:tc>
          <w:tcPr>
            <w:tcW w:w="19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健全</w:t>
            </w:r>
          </w:p>
        </w:tc>
        <w:tc>
          <w:tcPr>
            <w:tcW w:w="1799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健全</w:t>
            </w:r>
          </w:p>
        </w:tc>
        <w:tc>
          <w:tcPr>
            <w:tcW w:w="1866" w:type="dxa"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EF63AC" w:rsidRDefault="00EF63AC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EF63AC">
        <w:trPr>
          <w:trHeight w:val="540"/>
        </w:trPr>
        <w:tc>
          <w:tcPr>
            <w:tcW w:w="2067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固定资产利用率</w:t>
            </w:r>
          </w:p>
        </w:tc>
        <w:tc>
          <w:tcPr>
            <w:tcW w:w="19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0.00%</w:t>
            </w:r>
          </w:p>
        </w:tc>
        <w:tc>
          <w:tcPr>
            <w:tcW w:w="1071" w:type="dxa"/>
          </w:tcPr>
          <w:p w:rsidR="00EF63AC" w:rsidRDefault="00EF63AC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EF63AC">
        <w:trPr>
          <w:trHeight w:val="540"/>
        </w:trPr>
        <w:tc>
          <w:tcPr>
            <w:tcW w:w="2067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资产管理规范性</w:t>
            </w:r>
          </w:p>
        </w:tc>
        <w:tc>
          <w:tcPr>
            <w:tcW w:w="19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规范</w:t>
            </w:r>
          </w:p>
        </w:tc>
        <w:tc>
          <w:tcPr>
            <w:tcW w:w="1799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规范</w:t>
            </w:r>
          </w:p>
        </w:tc>
        <w:tc>
          <w:tcPr>
            <w:tcW w:w="1866" w:type="dxa"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EF63AC" w:rsidRDefault="00EF63AC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EF63AC">
        <w:trPr>
          <w:trHeight w:val="540"/>
        </w:trPr>
        <w:tc>
          <w:tcPr>
            <w:tcW w:w="2067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资产管理制度健全性</w:t>
            </w:r>
          </w:p>
        </w:tc>
        <w:tc>
          <w:tcPr>
            <w:tcW w:w="19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健全</w:t>
            </w:r>
          </w:p>
        </w:tc>
        <w:tc>
          <w:tcPr>
            <w:tcW w:w="1799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健全</w:t>
            </w:r>
          </w:p>
        </w:tc>
        <w:tc>
          <w:tcPr>
            <w:tcW w:w="1866" w:type="dxa"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EF63AC" w:rsidRDefault="00EF63AC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EF63AC">
        <w:trPr>
          <w:trHeight w:val="540"/>
        </w:trPr>
        <w:tc>
          <w:tcPr>
            <w:tcW w:w="2067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项目管理制度执行规范性</w:t>
            </w:r>
          </w:p>
        </w:tc>
        <w:tc>
          <w:tcPr>
            <w:tcW w:w="19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规范</w:t>
            </w:r>
          </w:p>
        </w:tc>
        <w:tc>
          <w:tcPr>
            <w:tcW w:w="1799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规范</w:t>
            </w:r>
          </w:p>
        </w:tc>
        <w:tc>
          <w:tcPr>
            <w:tcW w:w="1866" w:type="dxa"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EF63AC" w:rsidRDefault="00EF63AC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EF63AC">
        <w:trPr>
          <w:trHeight w:val="540"/>
        </w:trPr>
        <w:tc>
          <w:tcPr>
            <w:tcW w:w="2067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项目管理制度健全性</w:t>
            </w:r>
          </w:p>
        </w:tc>
        <w:tc>
          <w:tcPr>
            <w:tcW w:w="19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健全</w:t>
            </w:r>
          </w:p>
        </w:tc>
        <w:tc>
          <w:tcPr>
            <w:tcW w:w="1799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健全</w:t>
            </w:r>
          </w:p>
        </w:tc>
        <w:tc>
          <w:tcPr>
            <w:tcW w:w="1866" w:type="dxa"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EF63AC" w:rsidRDefault="00EF63AC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EF63AC">
        <w:trPr>
          <w:trHeight w:val="540"/>
        </w:trPr>
        <w:tc>
          <w:tcPr>
            <w:tcW w:w="2067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在职人员控制率</w:t>
            </w:r>
          </w:p>
        </w:tc>
        <w:tc>
          <w:tcPr>
            <w:tcW w:w="19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0.00%</w:t>
            </w:r>
          </w:p>
        </w:tc>
        <w:tc>
          <w:tcPr>
            <w:tcW w:w="1071" w:type="dxa"/>
          </w:tcPr>
          <w:p w:rsidR="00EF63AC" w:rsidRDefault="00EF63AC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EF63AC">
        <w:trPr>
          <w:trHeight w:val="540"/>
        </w:trPr>
        <w:tc>
          <w:tcPr>
            <w:tcW w:w="2067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人员管理制度健全性</w:t>
            </w:r>
          </w:p>
        </w:tc>
        <w:tc>
          <w:tcPr>
            <w:tcW w:w="19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健全</w:t>
            </w:r>
          </w:p>
        </w:tc>
        <w:tc>
          <w:tcPr>
            <w:tcW w:w="1799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健全</w:t>
            </w:r>
          </w:p>
        </w:tc>
        <w:tc>
          <w:tcPr>
            <w:tcW w:w="1866" w:type="dxa"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EF63AC" w:rsidRDefault="00EF63AC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EF63AC">
        <w:trPr>
          <w:trHeight w:val="540"/>
        </w:trPr>
        <w:tc>
          <w:tcPr>
            <w:tcW w:w="2067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人员管理制度执行有效性</w:t>
            </w:r>
          </w:p>
        </w:tc>
        <w:tc>
          <w:tcPr>
            <w:tcW w:w="19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有效</w:t>
            </w:r>
          </w:p>
        </w:tc>
        <w:tc>
          <w:tcPr>
            <w:tcW w:w="1799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有效</w:t>
            </w:r>
          </w:p>
        </w:tc>
        <w:tc>
          <w:tcPr>
            <w:tcW w:w="1866" w:type="dxa"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EF63AC" w:rsidRDefault="00EF63AC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EF63AC">
        <w:trPr>
          <w:trHeight w:val="540"/>
        </w:trPr>
        <w:tc>
          <w:tcPr>
            <w:tcW w:w="2067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纪检监察工作有效性</w:t>
            </w:r>
          </w:p>
        </w:tc>
        <w:tc>
          <w:tcPr>
            <w:tcW w:w="19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有效</w:t>
            </w:r>
          </w:p>
        </w:tc>
        <w:tc>
          <w:tcPr>
            <w:tcW w:w="1799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有效</w:t>
            </w:r>
          </w:p>
        </w:tc>
        <w:tc>
          <w:tcPr>
            <w:tcW w:w="1866" w:type="dxa"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EF63AC" w:rsidRDefault="00EF63AC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EF63AC">
        <w:trPr>
          <w:trHeight w:val="540"/>
        </w:trPr>
        <w:tc>
          <w:tcPr>
            <w:tcW w:w="2067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业务学习与培训</w:t>
            </w:r>
            <w:r>
              <w:rPr>
                <w:rFonts w:ascii="宋体" w:hAnsi="宋体" w:cs="宋体" w:hint="eastAsia"/>
                <w:sz w:val="24"/>
              </w:rPr>
              <w:lastRenderedPageBreak/>
              <w:t>及时完成率</w:t>
            </w:r>
          </w:p>
        </w:tc>
        <w:tc>
          <w:tcPr>
            <w:tcW w:w="19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lastRenderedPageBreak/>
              <w:t>=100%</w:t>
            </w:r>
          </w:p>
        </w:tc>
        <w:tc>
          <w:tcPr>
            <w:tcW w:w="1799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0.00%</w:t>
            </w:r>
          </w:p>
        </w:tc>
        <w:tc>
          <w:tcPr>
            <w:tcW w:w="1071" w:type="dxa"/>
          </w:tcPr>
          <w:p w:rsidR="00EF63AC" w:rsidRDefault="00EF63AC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EF63AC">
        <w:trPr>
          <w:trHeight w:val="540"/>
        </w:trPr>
        <w:tc>
          <w:tcPr>
            <w:tcW w:w="2067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组织建设工作及时完成率</w:t>
            </w:r>
          </w:p>
        </w:tc>
        <w:tc>
          <w:tcPr>
            <w:tcW w:w="19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0.00%</w:t>
            </w:r>
          </w:p>
        </w:tc>
        <w:tc>
          <w:tcPr>
            <w:tcW w:w="1071" w:type="dxa"/>
          </w:tcPr>
          <w:p w:rsidR="00EF63AC" w:rsidRDefault="00EF63AC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EF63AC">
        <w:trPr>
          <w:trHeight w:val="540"/>
        </w:trPr>
        <w:tc>
          <w:tcPr>
            <w:tcW w:w="2067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“三公经费”变动率</w:t>
            </w:r>
          </w:p>
        </w:tc>
        <w:tc>
          <w:tcPr>
            <w:tcW w:w="19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&lt;=0%</w:t>
            </w:r>
          </w:p>
        </w:tc>
        <w:tc>
          <w:tcPr>
            <w:tcW w:w="1799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866" w:type="dxa"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EF63AC" w:rsidRDefault="00EF63AC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EF63AC">
        <w:trPr>
          <w:trHeight w:val="540"/>
        </w:trPr>
        <w:tc>
          <w:tcPr>
            <w:tcW w:w="2067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非税收入预算完成率</w:t>
            </w:r>
          </w:p>
        </w:tc>
        <w:tc>
          <w:tcPr>
            <w:tcW w:w="19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&gt;=100</w:t>
            </w:r>
          </w:p>
        </w:tc>
        <w:tc>
          <w:tcPr>
            <w:tcW w:w="1799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</w:t>
            </w:r>
          </w:p>
        </w:tc>
        <w:tc>
          <w:tcPr>
            <w:tcW w:w="1866" w:type="dxa"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0.00%</w:t>
            </w:r>
          </w:p>
        </w:tc>
        <w:tc>
          <w:tcPr>
            <w:tcW w:w="1071" w:type="dxa"/>
          </w:tcPr>
          <w:p w:rsidR="00EF63AC" w:rsidRDefault="00EF63AC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EF63AC">
        <w:trPr>
          <w:trHeight w:val="540"/>
        </w:trPr>
        <w:tc>
          <w:tcPr>
            <w:tcW w:w="2067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结转结余率</w:t>
            </w:r>
          </w:p>
        </w:tc>
        <w:tc>
          <w:tcPr>
            <w:tcW w:w="19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=0%</w:t>
            </w:r>
          </w:p>
        </w:tc>
        <w:tc>
          <w:tcPr>
            <w:tcW w:w="1799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866" w:type="dxa"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EF63AC" w:rsidRDefault="00EF63AC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EF63AC">
        <w:trPr>
          <w:trHeight w:val="540"/>
        </w:trPr>
        <w:tc>
          <w:tcPr>
            <w:tcW w:w="2067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公用经费控制率</w:t>
            </w:r>
          </w:p>
        </w:tc>
        <w:tc>
          <w:tcPr>
            <w:tcW w:w="19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&lt;=100%</w:t>
            </w:r>
          </w:p>
        </w:tc>
        <w:tc>
          <w:tcPr>
            <w:tcW w:w="1799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0.00%</w:t>
            </w:r>
          </w:p>
        </w:tc>
        <w:tc>
          <w:tcPr>
            <w:tcW w:w="1071" w:type="dxa"/>
          </w:tcPr>
          <w:p w:rsidR="00EF63AC" w:rsidRDefault="00EF63AC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EF63AC">
        <w:trPr>
          <w:trHeight w:val="540"/>
        </w:trPr>
        <w:tc>
          <w:tcPr>
            <w:tcW w:w="2067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支付进度符合率</w:t>
            </w:r>
          </w:p>
        </w:tc>
        <w:tc>
          <w:tcPr>
            <w:tcW w:w="19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0.00%</w:t>
            </w:r>
          </w:p>
        </w:tc>
        <w:tc>
          <w:tcPr>
            <w:tcW w:w="1071" w:type="dxa"/>
          </w:tcPr>
          <w:p w:rsidR="00EF63AC" w:rsidRDefault="00EF63AC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EF63AC">
        <w:trPr>
          <w:trHeight w:val="540"/>
        </w:trPr>
        <w:tc>
          <w:tcPr>
            <w:tcW w:w="2067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政府采购执行率</w:t>
            </w:r>
          </w:p>
        </w:tc>
        <w:tc>
          <w:tcPr>
            <w:tcW w:w="19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0.00%</w:t>
            </w:r>
          </w:p>
        </w:tc>
        <w:tc>
          <w:tcPr>
            <w:tcW w:w="1071" w:type="dxa"/>
          </w:tcPr>
          <w:p w:rsidR="00EF63AC" w:rsidRDefault="00EF63AC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EF63AC">
        <w:trPr>
          <w:trHeight w:val="540"/>
        </w:trPr>
        <w:tc>
          <w:tcPr>
            <w:tcW w:w="2067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预算偏差率</w:t>
            </w:r>
          </w:p>
        </w:tc>
        <w:tc>
          <w:tcPr>
            <w:tcW w:w="19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&lt;=10%</w:t>
            </w:r>
          </w:p>
        </w:tc>
        <w:tc>
          <w:tcPr>
            <w:tcW w:w="1799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10%</w:t>
            </w:r>
          </w:p>
        </w:tc>
        <w:tc>
          <w:tcPr>
            <w:tcW w:w="1866" w:type="dxa"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0.00%</w:t>
            </w:r>
          </w:p>
        </w:tc>
        <w:tc>
          <w:tcPr>
            <w:tcW w:w="1071" w:type="dxa"/>
          </w:tcPr>
          <w:p w:rsidR="00EF63AC" w:rsidRDefault="00EF63AC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EF63AC">
        <w:trPr>
          <w:trHeight w:val="540"/>
        </w:trPr>
        <w:tc>
          <w:tcPr>
            <w:tcW w:w="2067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预算执行率</w:t>
            </w:r>
          </w:p>
        </w:tc>
        <w:tc>
          <w:tcPr>
            <w:tcW w:w="19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0.00%</w:t>
            </w:r>
          </w:p>
        </w:tc>
        <w:tc>
          <w:tcPr>
            <w:tcW w:w="1071" w:type="dxa"/>
          </w:tcPr>
          <w:p w:rsidR="00EF63AC" w:rsidRDefault="00EF63AC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EF63AC">
        <w:trPr>
          <w:trHeight w:val="540"/>
        </w:trPr>
        <w:tc>
          <w:tcPr>
            <w:tcW w:w="2067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预算调整率</w:t>
            </w:r>
          </w:p>
        </w:tc>
        <w:tc>
          <w:tcPr>
            <w:tcW w:w="19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=0%</w:t>
            </w:r>
          </w:p>
        </w:tc>
        <w:tc>
          <w:tcPr>
            <w:tcW w:w="1799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866" w:type="dxa"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EF63AC" w:rsidRDefault="00EF63AC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EF63AC">
        <w:trPr>
          <w:trHeight w:val="540"/>
        </w:trPr>
        <w:tc>
          <w:tcPr>
            <w:tcW w:w="2067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restart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效益</w:t>
            </w:r>
          </w:p>
        </w:tc>
        <w:tc>
          <w:tcPr>
            <w:tcW w:w="2061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证明书制证量</w:t>
            </w:r>
          </w:p>
        </w:tc>
        <w:tc>
          <w:tcPr>
            <w:tcW w:w="19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=6</w:t>
            </w:r>
            <w:r>
              <w:rPr>
                <w:rFonts w:ascii="宋体" w:hAnsi="宋体" w:cs="宋体" w:hint="eastAsia"/>
                <w:sz w:val="24"/>
              </w:rPr>
              <w:t>万份</w:t>
            </w:r>
          </w:p>
        </w:tc>
        <w:tc>
          <w:tcPr>
            <w:tcW w:w="1799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6</w:t>
            </w:r>
            <w:r>
              <w:rPr>
                <w:rFonts w:ascii="宋体" w:hAnsi="宋体" w:cs="宋体" w:hint="eastAsia"/>
                <w:sz w:val="24"/>
              </w:rPr>
              <w:t>万份</w:t>
            </w:r>
          </w:p>
        </w:tc>
        <w:tc>
          <w:tcPr>
            <w:tcW w:w="1866" w:type="dxa"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0.00%</w:t>
            </w:r>
          </w:p>
        </w:tc>
        <w:tc>
          <w:tcPr>
            <w:tcW w:w="1071" w:type="dxa"/>
          </w:tcPr>
          <w:p w:rsidR="00EF63AC" w:rsidRDefault="00EF63AC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EF63AC">
        <w:trPr>
          <w:trHeight w:val="540"/>
        </w:trPr>
        <w:tc>
          <w:tcPr>
            <w:tcW w:w="2067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国际法律纠纷调解仲裁</w:t>
            </w:r>
          </w:p>
        </w:tc>
        <w:tc>
          <w:tcPr>
            <w:tcW w:w="19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=4</w:t>
            </w:r>
            <w:r>
              <w:rPr>
                <w:rFonts w:ascii="宋体" w:hAnsi="宋体" w:cs="宋体" w:hint="eastAsia"/>
                <w:sz w:val="24"/>
              </w:rPr>
              <w:t>次</w:t>
            </w:r>
          </w:p>
        </w:tc>
        <w:tc>
          <w:tcPr>
            <w:tcW w:w="1799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4</w:t>
            </w:r>
            <w:r>
              <w:rPr>
                <w:rFonts w:ascii="宋体" w:hAnsi="宋体" w:cs="宋体" w:hint="eastAsia"/>
                <w:sz w:val="24"/>
              </w:rPr>
              <w:t>次</w:t>
            </w:r>
          </w:p>
        </w:tc>
        <w:tc>
          <w:tcPr>
            <w:tcW w:w="1866" w:type="dxa"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0.00%</w:t>
            </w:r>
          </w:p>
        </w:tc>
        <w:tc>
          <w:tcPr>
            <w:tcW w:w="1071" w:type="dxa"/>
          </w:tcPr>
          <w:p w:rsidR="00EF63AC" w:rsidRDefault="00EF63AC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EF63AC">
        <w:trPr>
          <w:trHeight w:val="540"/>
        </w:trPr>
        <w:tc>
          <w:tcPr>
            <w:tcW w:w="2067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国际联络及展览</w:t>
            </w:r>
          </w:p>
        </w:tc>
        <w:tc>
          <w:tcPr>
            <w:tcW w:w="19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=4</w:t>
            </w:r>
            <w:r>
              <w:rPr>
                <w:rFonts w:ascii="宋体" w:hAnsi="宋体" w:cs="宋体" w:hint="eastAsia"/>
                <w:sz w:val="24"/>
              </w:rPr>
              <w:t>次</w:t>
            </w:r>
          </w:p>
        </w:tc>
        <w:tc>
          <w:tcPr>
            <w:tcW w:w="1799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4</w:t>
            </w:r>
            <w:r>
              <w:rPr>
                <w:rFonts w:ascii="宋体" w:hAnsi="宋体" w:cs="宋体" w:hint="eastAsia"/>
                <w:sz w:val="24"/>
              </w:rPr>
              <w:t>次</w:t>
            </w:r>
          </w:p>
        </w:tc>
        <w:tc>
          <w:tcPr>
            <w:tcW w:w="1866" w:type="dxa"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0.00%</w:t>
            </w:r>
          </w:p>
        </w:tc>
        <w:tc>
          <w:tcPr>
            <w:tcW w:w="1071" w:type="dxa"/>
          </w:tcPr>
          <w:p w:rsidR="00EF63AC" w:rsidRDefault="00EF63AC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EF63AC">
        <w:trPr>
          <w:trHeight w:val="540"/>
        </w:trPr>
        <w:tc>
          <w:tcPr>
            <w:tcW w:w="2067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满意度</w:t>
            </w:r>
          </w:p>
        </w:tc>
        <w:tc>
          <w:tcPr>
            <w:tcW w:w="2061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服务对象满意度</w:t>
            </w:r>
          </w:p>
        </w:tc>
        <w:tc>
          <w:tcPr>
            <w:tcW w:w="19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0.00%</w:t>
            </w:r>
          </w:p>
        </w:tc>
        <w:tc>
          <w:tcPr>
            <w:tcW w:w="1071" w:type="dxa"/>
          </w:tcPr>
          <w:p w:rsidR="00EF63AC" w:rsidRDefault="00EF63AC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EF63AC">
        <w:trPr>
          <w:trHeight w:val="540"/>
        </w:trPr>
        <w:tc>
          <w:tcPr>
            <w:tcW w:w="2067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restart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履职</w:t>
            </w:r>
          </w:p>
        </w:tc>
        <w:tc>
          <w:tcPr>
            <w:tcW w:w="2061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提供货物原产地证明书签证服务</w:t>
            </w:r>
          </w:p>
        </w:tc>
        <w:tc>
          <w:tcPr>
            <w:tcW w:w="19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=6</w:t>
            </w:r>
            <w:r>
              <w:rPr>
                <w:rFonts w:ascii="宋体" w:hAnsi="宋体" w:cs="宋体" w:hint="eastAsia"/>
                <w:sz w:val="24"/>
              </w:rPr>
              <w:t>万份</w:t>
            </w:r>
          </w:p>
        </w:tc>
        <w:tc>
          <w:tcPr>
            <w:tcW w:w="1799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6</w:t>
            </w:r>
            <w:r>
              <w:rPr>
                <w:rFonts w:ascii="宋体" w:hAnsi="宋体" w:cs="宋体" w:hint="eastAsia"/>
                <w:sz w:val="24"/>
              </w:rPr>
              <w:t>万份</w:t>
            </w:r>
          </w:p>
        </w:tc>
        <w:tc>
          <w:tcPr>
            <w:tcW w:w="1866" w:type="dxa"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0.00%</w:t>
            </w:r>
          </w:p>
        </w:tc>
        <w:tc>
          <w:tcPr>
            <w:tcW w:w="1071" w:type="dxa"/>
          </w:tcPr>
          <w:p w:rsidR="00EF63AC" w:rsidRDefault="00EF63AC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EF63AC">
        <w:trPr>
          <w:trHeight w:val="540"/>
        </w:trPr>
        <w:tc>
          <w:tcPr>
            <w:tcW w:w="2067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涉外法律业务调解仲裁</w:t>
            </w:r>
          </w:p>
        </w:tc>
        <w:tc>
          <w:tcPr>
            <w:tcW w:w="19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=4</w:t>
            </w:r>
            <w:r>
              <w:rPr>
                <w:rFonts w:ascii="宋体" w:hAnsi="宋体" w:cs="宋体" w:hint="eastAsia"/>
                <w:sz w:val="24"/>
              </w:rPr>
              <w:t>次</w:t>
            </w:r>
          </w:p>
        </w:tc>
        <w:tc>
          <w:tcPr>
            <w:tcW w:w="1799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4</w:t>
            </w:r>
            <w:r>
              <w:rPr>
                <w:rFonts w:ascii="宋体" w:hAnsi="宋体" w:cs="宋体" w:hint="eastAsia"/>
                <w:sz w:val="24"/>
              </w:rPr>
              <w:t>次</w:t>
            </w:r>
          </w:p>
        </w:tc>
        <w:tc>
          <w:tcPr>
            <w:tcW w:w="1866" w:type="dxa"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0.00%</w:t>
            </w:r>
          </w:p>
        </w:tc>
        <w:tc>
          <w:tcPr>
            <w:tcW w:w="1071" w:type="dxa"/>
          </w:tcPr>
          <w:p w:rsidR="00EF63AC" w:rsidRDefault="00EF63AC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EF63AC">
        <w:trPr>
          <w:trHeight w:val="540"/>
        </w:trPr>
        <w:tc>
          <w:tcPr>
            <w:tcW w:w="2067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对外联络与展览</w:t>
            </w:r>
          </w:p>
        </w:tc>
        <w:tc>
          <w:tcPr>
            <w:tcW w:w="19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=4</w:t>
            </w:r>
            <w:r>
              <w:rPr>
                <w:rFonts w:ascii="宋体" w:hAnsi="宋体" w:cs="宋体" w:hint="eastAsia"/>
                <w:sz w:val="24"/>
              </w:rPr>
              <w:t>次</w:t>
            </w:r>
          </w:p>
        </w:tc>
        <w:tc>
          <w:tcPr>
            <w:tcW w:w="1799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4</w:t>
            </w:r>
            <w:r>
              <w:rPr>
                <w:rFonts w:ascii="宋体" w:hAnsi="宋体" w:cs="宋体" w:hint="eastAsia"/>
                <w:sz w:val="24"/>
              </w:rPr>
              <w:t>次</w:t>
            </w:r>
          </w:p>
        </w:tc>
        <w:tc>
          <w:tcPr>
            <w:tcW w:w="1866" w:type="dxa"/>
            <w:vAlign w:val="center"/>
          </w:tcPr>
          <w:p w:rsidR="00EF63AC" w:rsidRDefault="00EF63AC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EF63AC" w:rsidRDefault="00A7068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0.00%</w:t>
            </w:r>
          </w:p>
        </w:tc>
        <w:tc>
          <w:tcPr>
            <w:tcW w:w="1071" w:type="dxa"/>
          </w:tcPr>
          <w:p w:rsidR="00EF63AC" w:rsidRDefault="00EF63AC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</w:tbl>
    <w:p w:rsidR="00EF63AC" w:rsidRDefault="00EF63AC">
      <w:pPr>
        <w:spacing w:line="360" w:lineRule="auto"/>
        <w:ind w:left="600"/>
        <w:rPr>
          <w:rFonts w:ascii="黑体" w:eastAsia="黑体" w:hAnsi="黑体"/>
          <w:sz w:val="30"/>
        </w:rPr>
      </w:pPr>
    </w:p>
    <w:sectPr w:rsidR="00EF63AC" w:rsidSect="00EF63AC">
      <w:headerReference w:type="default" r:id="rId11"/>
      <w:footerReference w:type="default" r:id="rId12"/>
      <w:pgSz w:w="16840" w:h="11907" w:orient="landscape"/>
      <w:pgMar w:top="1559" w:right="1247" w:bottom="1400" w:left="1089" w:header="851" w:footer="992" w:gutter="0"/>
      <w:paperSrc w:first="15" w:other="15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0684" w:rsidRDefault="00A70684" w:rsidP="00EF63AC">
      <w:r>
        <w:separator/>
      </w:r>
    </w:p>
  </w:endnote>
  <w:endnote w:type="continuationSeparator" w:id="0">
    <w:p w:rsidR="00A70684" w:rsidRDefault="00A70684" w:rsidP="00EF63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宋体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  <w:font w:name="等线"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3AC" w:rsidRDefault="00EF63AC">
    <w:pPr>
      <w:pStyle w:val="a4"/>
      <w:framePr w:wrap="around" w:vAnchor="text" w:hAnchor="margin" w:xAlign="center" w:y="1"/>
      <w:rPr>
        <w:rStyle w:val="a7"/>
      </w:rPr>
    </w:pPr>
    <w:r>
      <w:fldChar w:fldCharType="begin"/>
    </w:r>
    <w:r w:rsidR="00A70684">
      <w:rPr>
        <w:rStyle w:val="a7"/>
      </w:rPr>
      <w:instrText xml:space="preserve">PAGE  </w:instrText>
    </w:r>
    <w:r>
      <w:fldChar w:fldCharType="end"/>
    </w:r>
  </w:p>
  <w:p w:rsidR="00EF63AC" w:rsidRDefault="00EF63A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3AC" w:rsidRDefault="00EF63AC">
    <w:pPr>
      <w:pStyle w:val="a4"/>
      <w:framePr w:wrap="around" w:vAnchor="text" w:hAnchor="margin" w:xAlign="center" w:y="1"/>
      <w:rPr>
        <w:rStyle w:val="a7"/>
      </w:rPr>
    </w:pPr>
    <w:r>
      <w:fldChar w:fldCharType="begin"/>
    </w:r>
    <w:r w:rsidR="00A70684">
      <w:rPr>
        <w:rStyle w:val="a7"/>
      </w:rPr>
      <w:instrText xml:space="preserve">PAGE  </w:instrText>
    </w:r>
    <w:r>
      <w:fldChar w:fldCharType="separate"/>
    </w:r>
    <w:r w:rsidR="008E7E09">
      <w:rPr>
        <w:rStyle w:val="a7"/>
        <w:noProof/>
      </w:rPr>
      <w:t>2</w:t>
    </w:r>
    <w:r>
      <w:fldChar w:fldCharType="end"/>
    </w:r>
  </w:p>
  <w:p w:rsidR="00EF63AC" w:rsidRDefault="00EF63AC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3AC" w:rsidRDefault="00EF63AC">
    <w:pPr>
      <w:pStyle w:val="a4"/>
      <w:framePr w:wrap="around" w:vAnchor="text" w:hAnchor="margin" w:xAlign="center" w:y="1"/>
      <w:rPr>
        <w:rStyle w:val="a7"/>
      </w:rPr>
    </w:pPr>
    <w:r>
      <w:fldChar w:fldCharType="begin"/>
    </w:r>
    <w:r w:rsidR="00A70684">
      <w:rPr>
        <w:rStyle w:val="a7"/>
      </w:rPr>
      <w:instrText xml:space="preserve">PAGE  </w:instrText>
    </w:r>
    <w:r>
      <w:fldChar w:fldCharType="separate"/>
    </w:r>
    <w:r w:rsidR="008E7E09">
      <w:rPr>
        <w:rStyle w:val="a7"/>
        <w:noProof/>
      </w:rPr>
      <w:t>8</w:t>
    </w:r>
    <w:r>
      <w:fldChar w:fldCharType="end"/>
    </w:r>
  </w:p>
  <w:p w:rsidR="00EF63AC" w:rsidRDefault="00EF63A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0684" w:rsidRDefault="00A70684" w:rsidP="00EF63AC">
      <w:r>
        <w:separator/>
      </w:r>
    </w:p>
  </w:footnote>
  <w:footnote w:type="continuationSeparator" w:id="0">
    <w:p w:rsidR="00A70684" w:rsidRDefault="00A70684" w:rsidP="00EF63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3AC" w:rsidRDefault="00EF63AC">
    <w:pPr>
      <w:pStyle w:val="a5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3AC" w:rsidRDefault="00EF63AC">
    <w:pPr>
      <w:pStyle w:val="a5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3AC" w:rsidRDefault="00EF63AC">
    <w:pPr>
      <w:pStyle w:val="a5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7BB9F1"/>
    <w:multiLevelType w:val="singleLevel"/>
    <w:tmpl w:val="5D7BB9F1"/>
    <w:lvl w:ilvl="0">
      <w:start w:val="7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jI2ZWIxNzBhOWM3YmNkMjVjMWZjMWQ2NzA4MDFlZmYifQ=="/>
  </w:docVars>
  <w:rsids>
    <w:rsidRoot w:val="00063C33"/>
    <w:rsid w:val="00000AE5"/>
    <w:rsid w:val="0000149B"/>
    <w:rsid w:val="00003466"/>
    <w:rsid w:val="00005172"/>
    <w:rsid w:val="000100EA"/>
    <w:rsid w:val="000174EF"/>
    <w:rsid w:val="00017B0A"/>
    <w:rsid w:val="00023671"/>
    <w:rsid w:val="00026029"/>
    <w:rsid w:val="000264BF"/>
    <w:rsid w:val="00037A63"/>
    <w:rsid w:val="00040CA6"/>
    <w:rsid w:val="00043B48"/>
    <w:rsid w:val="00052BE5"/>
    <w:rsid w:val="00060137"/>
    <w:rsid w:val="00063750"/>
    <w:rsid w:val="00063C33"/>
    <w:rsid w:val="00063D5B"/>
    <w:rsid w:val="00065156"/>
    <w:rsid w:val="00065B29"/>
    <w:rsid w:val="00067138"/>
    <w:rsid w:val="0006750F"/>
    <w:rsid w:val="000744C4"/>
    <w:rsid w:val="00075453"/>
    <w:rsid w:val="00075D05"/>
    <w:rsid w:val="000822BA"/>
    <w:rsid w:val="000824B9"/>
    <w:rsid w:val="00083E7F"/>
    <w:rsid w:val="000903A9"/>
    <w:rsid w:val="00090A12"/>
    <w:rsid w:val="00091DCD"/>
    <w:rsid w:val="000920AE"/>
    <w:rsid w:val="00096524"/>
    <w:rsid w:val="000A413D"/>
    <w:rsid w:val="000A5944"/>
    <w:rsid w:val="000B00C1"/>
    <w:rsid w:val="000B1FE0"/>
    <w:rsid w:val="000B2275"/>
    <w:rsid w:val="000B2CE5"/>
    <w:rsid w:val="000B5A1C"/>
    <w:rsid w:val="000B7645"/>
    <w:rsid w:val="000C44B7"/>
    <w:rsid w:val="000E5B04"/>
    <w:rsid w:val="000E69D0"/>
    <w:rsid w:val="000E7FBE"/>
    <w:rsid w:val="000F10A1"/>
    <w:rsid w:val="000F2CE9"/>
    <w:rsid w:val="000F5BD7"/>
    <w:rsid w:val="000F6964"/>
    <w:rsid w:val="00100A3B"/>
    <w:rsid w:val="001014B4"/>
    <w:rsid w:val="00104DFE"/>
    <w:rsid w:val="00106E72"/>
    <w:rsid w:val="00113289"/>
    <w:rsid w:val="00113D04"/>
    <w:rsid w:val="00113E8E"/>
    <w:rsid w:val="0011541B"/>
    <w:rsid w:val="0012134D"/>
    <w:rsid w:val="001220BE"/>
    <w:rsid w:val="00125CF2"/>
    <w:rsid w:val="00126E12"/>
    <w:rsid w:val="00130587"/>
    <w:rsid w:val="00130A6B"/>
    <w:rsid w:val="00131B00"/>
    <w:rsid w:val="00132D88"/>
    <w:rsid w:val="00133A9B"/>
    <w:rsid w:val="0013429F"/>
    <w:rsid w:val="001410F0"/>
    <w:rsid w:val="001420CF"/>
    <w:rsid w:val="00143A75"/>
    <w:rsid w:val="00143BA3"/>
    <w:rsid w:val="0014417A"/>
    <w:rsid w:val="001451E1"/>
    <w:rsid w:val="00147FEA"/>
    <w:rsid w:val="0015165E"/>
    <w:rsid w:val="00155CA1"/>
    <w:rsid w:val="001612E1"/>
    <w:rsid w:val="00164523"/>
    <w:rsid w:val="00165B5D"/>
    <w:rsid w:val="001662B4"/>
    <w:rsid w:val="0017063E"/>
    <w:rsid w:val="00177F82"/>
    <w:rsid w:val="001808D8"/>
    <w:rsid w:val="0018270E"/>
    <w:rsid w:val="00182B89"/>
    <w:rsid w:val="00182FC9"/>
    <w:rsid w:val="00190510"/>
    <w:rsid w:val="001A0AFE"/>
    <w:rsid w:val="001A1132"/>
    <w:rsid w:val="001B04B5"/>
    <w:rsid w:val="001B5269"/>
    <w:rsid w:val="001B7A52"/>
    <w:rsid w:val="001C0B83"/>
    <w:rsid w:val="001C31AD"/>
    <w:rsid w:val="001C4669"/>
    <w:rsid w:val="001C64FE"/>
    <w:rsid w:val="001C7FFB"/>
    <w:rsid w:val="001D03A1"/>
    <w:rsid w:val="001D2206"/>
    <w:rsid w:val="001D31D8"/>
    <w:rsid w:val="001D41B6"/>
    <w:rsid w:val="001D785B"/>
    <w:rsid w:val="001D7F4F"/>
    <w:rsid w:val="001E09A5"/>
    <w:rsid w:val="001E11AE"/>
    <w:rsid w:val="001E387E"/>
    <w:rsid w:val="001E4826"/>
    <w:rsid w:val="001E55E3"/>
    <w:rsid w:val="001F0EC7"/>
    <w:rsid w:val="001F1C88"/>
    <w:rsid w:val="001F2939"/>
    <w:rsid w:val="001F3B30"/>
    <w:rsid w:val="001F3BCB"/>
    <w:rsid w:val="00200D3F"/>
    <w:rsid w:val="0020308A"/>
    <w:rsid w:val="00204221"/>
    <w:rsid w:val="00206133"/>
    <w:rsid w:val="00213BC8"/>
    <w:rsid w:val="00216350"/>
    <w:rsid w:val="002166D3"/>
    <w:rsid w:val="00216F1E"/>
    <w:rsid w:val="00217E52"/>
    <w:rsid w:val="00222156"/>
    <w:rsid w:val="00223CA3"/>
    <w:rsid w:val="00227A2B"/>
    <w:rsid w:val="0023035D"/>
    <w:rsid w:val="002340B0"/>
    <w:rsid w:val="00234E4B"/>
    <w:rsid w:val="0023634E"/>
    <w:rsid w:val="002408C3"/>
    <w:rsid w:val="0024113F"/>
    <w:rsid w:val="00244426"/>
    <w:rsid w:val="0024746E"/>
    <w:rsid w:val="0025051E"/>
    <w:rsid w:val="00252592"/>
    <w:rsid w:val="00253D90"/>
    <w:rsid w:val="0025423D"/>
    <w:rsid w:val="00254F9A"/>
    <w:rsid w:val="00257BC2"/>
    <w:rsid w:val="00261488"/>
    <w:rsid w:val="00264AA2"/>
    <w:rsid w:val="00265B16"/>
    <w:rsid w:val="00265DA5"/>
    <w:rsid w:val="002673D0"/>
    <w:rsid w:val="002716BD"/>
    <w:rsid w:val="00273D49"/>
    <w:rsid w:val="00283319"/>
    <w:rsid w:val="00285317"/>
    <w:rsid w:val="0028539D"/>
    <w:rsid w:val="00286629"/>
    <w:rsid w:val="00286702"/>
    <w:rsid w:val="00286D47"/>
    <w:rsid w:val="002900B4"/>
    <w:rsid w:val="00291982"/>
    <w:rsid w:val="00294622"/>
    <w:rsid w:val="002A1D40"/>
    <w:rsid w:val="002A520E"/>
    <w:rsid w:val="002A71E9"/>
    <w:rsid w:val="002A740D"/>
    <w:rsid w:val="002B3130"/>
    <w:rsid w:val="002B46D0"/>
    <w:rsid w:val="002B4938"/>
    <w:rsid w:val="002B4C42"/>
    <w:rsid w:val="002B5C95"/>
    <w:rsid w:val="002B7826"/>
    <w:rsid w:val="002B7DA5"/>
    <w:rsid w:val="002C14BC"/>
    <w:rsid w:val="002C40C2"/>
    <w:rsid w:val="002C50BE"/>
    <w:rsid w:val="002C58CE"/>
    <w:rsid w:val="002C6932"/>
    <w:rsid w:val="002D37C3"/>
    <w:rsid w:val="002D39F6"/>
    <w:rsid w:val="002E02D4"/>
    <w:rsid w:val="002E3E46"/>
    <w:rsid w:val="002E6262"/>
    <w:rsid w:val="002F2F89"/>
    <w:rsid w:val="002F3573"/>
    <w:rsid w:val="002F79DA"/>
    <w:rsid w:val="003023BE"/>
    <w:rsid w:val="003047D9"/>
    <w:rsid w:val="00304E50"/>
    <w:rsid w:val="0031251A"/>
    <w:rsid w:val="00313B31"/>
    <w:rsid w:val="00313C95"/>
    <w:rsid w:val="00314B04"/>
    <w:rsid w:val="003205DD"/>
    <w:rsid w:val="003212A4"/>
    <w:rsid w:val="00321645"/>
    <w:rsid w:val="003224A9"/>
    <w:rsid w:val="00323407"/>
    <w:rsid w:val="00324653"/>
    <w:rsid w:val="00325446"/>
    <w:rsid w:val="003255FE"/>
    <w:rsid w:val="00327EE2"/>
    <w:rsid w:val="00330CB3"/>
    <w:rsid w:val="00332C74"/>
    <w:rsid w:val="00335FCC"/>
    <w:rsid w:val="00336C7D"/>
    <w:rsid w:val="00342E62"/>
    <w:rsid w:val="00343C7E"/>
    <w:rsid w:val="0034643F"/>
    <w:rsid w:val="00346D0D"/>
    <w:rsid w:val="00350DCA"/>
    <w:rsid w:val="00350EF3"/>
    <w:rsid w:val="00351E9C"/>
    <w:rsid w:val="00353E46"/>
    <w:rsid w:val="00354DA3"/>
    <w:rsid w:val="0035535B"/>
    <w:rsid w:val="003557CD"/>
    <w:rsid w:val="00355802"/>
    <w:rsid w:val="00362F2E"/>
    <w:rsid w:val="00365C54"/>
    <w:rsid w:val="003700B6"/>
    <w:rsid w:val="00370935"/>
    <w:rsid w:val="00371DB2"/>
    <w:rsid w:val="003729B0"/>
    <w:rsid w:val="00373041"/>
    <w:rsid w:val="003753A8"/>
    <w:rsid w:val="003831C1"/>
    <w:rsid w:val="00393CB1"/>
    <w:rsid w:val="003A5262"/>
    <w:rsid w:val="003B2F39"/>
    <w:rsid w:val="003B3410"/>
    <w:rsid w:val="003B36E9"/>
    <w:rsid w:val="003B6092"/>
    <w:rsid w:val="003C042E"/>
    <w:rsid w:val="003C06AC"/>
    <w:rsid w:val="003C1186"/>
    <w:rsid w:val="003C391B"/>
    <w:rsid w:val="003C4D46"/>
    <w:rsid w:val="003D01B1"/>
    <w:rsid w:val="003D0B70"/>
    <w:rsid w:val="003D72AD"/>
    <w:rsid w:val="003D7F91"/>
    <w:rsid w:val="003E2A48"/>
    <w:rsid w:val="003E2F63"/>
    <w:rsid w:val="003E65CC"/>
    <w:rsid w:val="003E6D22"/>
    <w:rsid w:val="003F2293"/>
    <w:rsid w:val="00400243"/>
    <w:rsid w:val="00405CA6"/>
    <w:rsid w:val="00410C77"/>
    <w:rsid w:val="00411D37"/>
    <w:rsid w:val="00424485"/>
    <w:rsid w:val="004257E1"/>
    <w:rsid w:val="00425AA3"/>
    <w:rsid w:val="004305C8"/>
    <w:rsid w:val="0043312C"/>
    <w:rsid w:val="00436533"/>
    <w:rsid w:val="00436EC1"/>
    <w:rsid w:val="004403E7"/>
    <w:rsid w:val="004423E2"/>
    <w:rsid w:val="00445706"/>
    <w:rsid w:val="0045004A"/>
    <w:rsid w:val="004545F2"/>
    <w:rsid w:val="00454BDA"/>
    <w:rsid w:val="00457C9A"/>
    <w:rsid w:val="004611B1"/>
    <w:rsid w:val="0046258B"/>
    <w:rsid w:val="00466701"/>
    <w:rsid w:val="00471F88"/>
    <w:rsid w:val="00473304"/>
    <w:rsid w:val="00475B06"/>
    <w:rsid w:val="00476840"/>
    <w:rsid w:val="0048152F"/>
    <w:rsid w:val="0048585A"/>
    <w:rsid w:val="0048750F"/>
    <w:rsid w:val="0049066C"/>
    <w:rsid w:val="004912EF"/>
    <w:rsid w:val="004974D1"/>
    <w:rsid w:val="004A1580"/>
    <w:rsid w:val="004A19DD"/>
    <w:rsid w:val="004B0052"/>
    <w:rsid w:val="004B44B5"/>
    <w:rsid w:val="004C13D9"/>
    <w:rsid w:val="004C156B"/>
    <w:rsid w:val="004C1CE2"/>
    <w:rsid w:val="004C51FC"/>
    <w:rsid w:val="004C5BAD"/>
    <w:rsid w:val="004D5319"/>
    <w:rsid w:val="004D797B"/>
    <w:rsid w:val="004E0982"/>
    <w:rsid w:val="004E1DF7"/>
    <w:rsid w:val="004E2D60"/>
    <w:rsid w:val="004E2E62"/>
    <w:rsid w:val="004E3248"/>
    <w:rsid w:val="004E5392"/>
    <w:rsid w:val="004E73A7"/>
    <w:rsid w:val="004F030E"/>
    <w:rsid w:val="004F2DA8"/>
    <w:rsid w:val="004F4FE5"/>
    <w:rsid w:val="004F6112"/>
    <w:rsid w:val="004F6658"/>
    <w:rsid w:val="004F6BFF"/>
    <w:rsid w:val="004F71AE"/>
    <w:rsid w:val="00501E97"/>
    <w:rsid w:val="005038C9"/>
    <w:rsid w:val="00506E8C"/>
    <w:rsid w:val="00506FCF"/>
    <w:rsid w:val="0051294C"/>
    <w:rsid w:val="00512A8D"/>
    <w:rsid w:val="00521013"/>
    <w:rsid w:val="00526943"/>
    <w:rsid w:val="005314A7"/>
    <w:rsid w:val="00532870"/>
    <w:rsid w:val="005428EE"/>
    <w:rsid w:val="00543724"/>
    <w:rsid w:val="0054645B"/>
    <w:rsid w:val="00552B33"/>
    <w:rsid w:val="00553660"/>
    <w:rsid w:val="00553EB2"/>
    <w:rsid w:val="00556E4F"/>
    <w:rsid w:val="00560776"/>
    <w:rsid w:val="00560AFC"/>
    <w:rsid w:val="00560EAF"/>
    <w:rsid w:val="005619A3"/>
    <w:rsid w:val="00562503"/>
    <w:rsid w:val="0056664B"/>
    <w:rsid w:val="00567693"/>
    <w:rsid w:val="00570911"/>
    <w:rsid w:val="005723D7"/>
    <w:rsid w:val="005755EB"/>
    <w:rsid w:val="005757F7"/>
    <w:rsid w:val="0058037E"/>
    <w:rsid w:val="00581411"/>
    <w:rsid w:val="005817F6"/>
    <w:rsid w:val="00593238"/>
    <w:rsid w:val="00597885"/>
    <w:rsid w:val="005A0674"/>
    <w:rsid w:val="005A3838"/>
    <w:rsid w:val="005A3AA9"/>
    <w:rsid w:val="005A3AE6"/>
    <w:rsid w:val="005A3EAE"/>
    <w:rsid w:val="005A4A49"/>
    <w:rsid w:val="005A71F3"/>
    <w:rsid w:val="005A7726"/>
    <w:rsid w:val="005A77D3"/>
    <w:rsid w:val="005B0AE0"/>
    <w:rsid w:val="005B2146"/>
    <w:rsid w:val="005B2738"/>
    <w:rsid w:val="005B2C2E"/>
    <w:rsid w:val="005B3560"/>
    <w:rsid w:val="005B48B6"/>
    <w:rsid w:val="005B4B41"/>
    <w:rsid w:val="005B529F"/>
    <w:rsid w:val="005B612C"/>
    <w:rsid w:val="005B6B32"/>
    <w:rsid w:val="005B77DD"/>
    <w:rsid w:val="005C09F8"/>
    <w:rsid w:val="005C1A18"/>
    <w:rsid w:val="005C1BD8"/>
    <w:rsid w:val="005C2E63"/>
    <w:rsid w:val="005C5E8E"/>
    <w:rsid w:val="005C65E4"/>
    <w:rsid w:val="005D11F6"/>
    <w:rsid w:val="005D1D0B"/>
    <w:rsid w:val="005D72E3"/>
    <w:rsid w:val="005E0E7F"/>
    <w:rsid w:val="005E5A79"/>
    <w:rsid w:val="005F1482"/>
    <w:rsid w:val="005F1E3B"/>
    <w:rsid w:val="0060449D"/>
    <w:rsid w:val="00610F23"/>
    <w:rsid w:val="00613019"/>
    <w:rsid w:val="00621622"/>
    <w:rsid w:val="006226C5"/>
    <w:rsid w:val="00622FB6"/>
    <w:rsid w:val="0062351F"/>
    <w:rsid w:val="00625CE4"/>
    <w:rsid w:val="00631623"/>
    <w:rsid w:val="006316FF"/>
    <w:rsid w:val="00633F34"/>
    <w:rsid w:val="006346F2"/>
    <w:rsid w:val="00642FA5"/>
    <w:rsid w:val="00643E54"/>
    <w:rsid w:val="006520DA"/>
    <w:rsid w:val="00652414"/>
    <w:rsid w:val="0066087C"/>
    <w:rsid w:val="00665D96"/>
    <w:rsid w:val="00672C67"/>
    <w:rsid w:val="006733B9"/>
    <w:rsid w:val="006777F4"/>
    <w:rsid w:val="00680C37"/>
    <w:rsid w:val="0068235A"/>
    <w:rsid w:val="00691F14"/>
    <w:rsid w:val="00693D54"/>
    <w:rsid w:val="00695B4B"/>
    <w:rsid w:val="006A242C"/>
    <w:rsid w:val="006A3E01"/>
    <w:rsid w:val="006A4842"/>
    <w:rsid w:val="006A5F11"/>
    <w:rsid w:val="006B46FE"/>
    <w:rsid w:val="006B5B10"/>
    <w:rsid w:val="006C0BED"/>
    <w:rsid w:val="006C1512"/>
    <w:rsid w:val="006C5E14"/>
    <w:rsid w:val="006E199D"/>
    <w:rsid w:val="006E2154"/>
    <w:rsid w:val="006E526F"/>
    <w:rsid w:val="006F2F60"/>
    <w:rsid w:val="006F4261"/>
    <w:rsid w:val="006F5BB5"/>
    <w:rsid w:val="006F63F7"/>
    <w:rsid w:val="006F7720"/>
    <w:rsid w:val="00700D51"/>
    <w:rsid w:val="00701E4E"/>
    <w:rsid w:val="00703AAD"/>
    <w:rsid w:val="00704126"/>
    <w:rsid w:val="00704DC6"/>
    <w:rsid w:val="00706525"/>
    <w:rsid w:val="00707621"/>
    <w:rsid w:val="007171E1"/>
    <w:rsid w:val="00717422"/>
    <w:rsid w:val="00722137"/>
    <w:rsid w:val="00723710"/>
    <w:rsid w:val="00733427"/>
    <w:rsid w:val="00735573"/>
    <w:rsid w:val="00737F68"/>
    <w:rsid w:val="007424E1"/>
    <w:rsid w:val="00742D87"/>
    <w:rsid w:val="00751DC9"/>
    <w:rsid w:val="0075565C"/>
    <w:rsid w:val="007605DC"/>
    <w:rsid w:val="00761F62"/>
    <w:rsid w:val="00762C18"/>
    <w:rsid w:val="00766FB7"/>
    <w:rsid w:val="00772348"/>
    <w:rsid w:val="00772510"/>
    <w:rsid w:val="00773A1D"/>
    <w:rsid w:val="00773F42"/>
    <w:rsid w:val="00774264"/>
    <w:rsid w:val="00775445"/>
    <w:rsid w:val="00780EE2"/>
    <w:rsid w:val="007840FE"/>
    <w:rsid w:val="00784F8B"/>
    <w:rsid w:val="007871EE"/>
    <w:rsid w:val="00793E08"/>
    <w:rsid w:val="00794A76"/>
    <w:rsid w:val="00795D56"/>
    <w:rsid w:val="007962F0"/>
    <w:rsid w:val="00797D92"/>
    <w:rsid w:val="007A0919"/>
    <w:rsid w:val="007A097F"/>
    <w:rsid w:val="007A4200"/>
    <w:rsid w:val="007B3DD4"/>
    <w:rsid w:val="007B5103"/>
    <w:rsid w:val="007B61B8"/>
    <w:rsid w:val="007B6A00"/>
    <w:rsid w:val="007C0D3D"/>
    <w:rsid w:val="007C31AE"/>
    <w:rsid w:val="007C36CD"/>
    <w:rsid w:val="007C3C87"/>
    <w:rsid w:val="007C3D16"/>
    <w:rsid w:val="007C47E4"/>
    <w:rsid w:val="007C4FF4"/>
    <w:rsid w:val="007D2436"/>
    <w:rsid w:val="007D2B3D"/>
    <w:rsid w:val="007D444F"/>
    <w:rsid w:val="007D4E58"/>
    <w:rsid w:val="007D56C8"/>
    <w:rsid w:val="007D7F00"/>
    <w:rsid w:val="007E1CCC"/>
    <w:rsid w:val="007E459A"/>
    <w:rsid w:val="007E4929"/>
    <w:rsid w:val="007E720E"/>
    <w:rsid w:val="007E72F0"/>
    <w:rsid w:val="007F009F"/>
    <w:rsid w:val="007F0BF3"/>
    <w:rsid w:val="007F0D47"/>
    <w:rsid w:val="007F2B03"/>
    <w:rsid w:val="007F33BC"/>
    <w:rsid w:val="007F6C9D"/>
    <w:rsid w:val="00800BE6"/>
    <w:rsid w:val="0080256D"/>
    <w:rsid w:val="00802E22"/>
    <w:rsid w:val="00812702"/>
    <w:rsid w:val="0081659F"/>
    <w:rsid w:val="008165F1"/>
    <w:rsid w:val="008235B6"/>
    <w:rsid w:val="008329A5"/>
    <w:rsid w:val="00832C53"/>
    <w:rsid w:val="008353A0"/>
    <w:rsid w:val="00846B19"/>
    <w:rsid w:val="008509A5"/>
    <w:rsid w:val="008521F8"/>
    <w:rsid w:val="00852E79"/>
    <w:rsid w:val="008550E4"/>
    <w:rsid w:val="00855CA7"/>
    <w:rsid w:val="00855F3C"/>
    <w:rsid w:val="00857998"/>
    <w:rsid w:val="00862373"/>
    <w:rsid w:val="008702C7"/>
    <w:rsid w:val="008814B7"/>
    <w:rsid w:val="00882EDF"/>
    <w:rsid w:val="008855D8"/>
    <w:rsid w:val="00885B43"/>
    <w:rsid w:val="00885EDD"/>
    <w:rsid w:val="00891909"/>
    <w:rsid w:val="0089196E"/>
    <w:rsid w:val="00894546"/>
    <w:rsid w:val="008956AE"/>
    <w:rsid w:val="008962B9"/>
    <w:rsid w:val="008B27AB"/>
    <w:rsid w:val="008B474A"/>
    <w:rsid w:val="008B4752"/>
    <w:rsid w:val="008C0F7F"/>
    <w:rsid w:val="008C19A0"/>
    <w:rsid w:val="008C5F52"/>
    <w:rsid w:val="008D1294"/>
    <w:rsid w:val="008D4748"/>
    <w:rsid w:val="008D493B"/>
    <w:rsid w:val="008E15CC"/>
    <w:rsid w:val="008E5F67"/>
    <w:rsid w:val="008E7E09"/>
    <w:rsid w:val="008E7EF2"/>
    <w:rsid w:val="008F0D75"/>
    <w:rsid w:val="00912649"/>
    <w:rsid w:val="009141CE"/>
    <w:rsid w:val="00914978"/>
    <w:rsid w:val="0092032F"/>
    <w:rsid w:val="00921CBB"/>
    <w:rsid w:val="009220F6"/>
    <w:rsid w:val="00923540"/>
    <w:rsid w:val="009238C5"/>
    <w:rsid w:val="00926CE3"/>
    <w:rsid w:val="00927493"/>
    <w:rsid w:val="00930153"/>
    <w:rsid w:val="00936842"/>
    <w:rsid w:val="00944770"/>
    <w:rsid w:val="00950C79"/>
    <w:rsid w:val="00952E84"/>
    <w:rsid w:val="00952F21"/>
    <w:rsid w:val="00954DE5"/>
    <w:rsid w:val="00956D46"/>
    <w:rsid w:val="00957FE6"/>
    <w:rsid w:val="00961F56"/>
    <w:rsid w:val="00973D9E"/>
    <w:rsid w:val="00973DF8"/>
    <w:rsid w:val="00975B93"/>
    <w:rsid w:val="009803F9"/>
    <w:rsid w:val="00981623"/>
    <w:rsid w:val="0098375F"/>
    <w:rsid w:val="0098511D"/>
    <w:rsid w:val="00985485"/>
    <w:rsid w:val="00986075"/>
    <w:rsid w:val="00991298"/>
    <w:rsid w:val="00991A54"/>
    <w:rsid w:val="009932BD"/>
    <w:rsid w:val="009934FA"/>
    <w:rsid w:val="00994166"/>
    <w:rsid w:val="009A14E2"/>
    <w:rsid w:val="009B00C3"/>
    <w:rsid w:val="009B0CBC"/>
    <w:rsid w:val="009C0139"/>
    <w:rsid w:val="009C0E57"/>
    <w:rsid w:val="009C2F7D"/>
    <w:rsid w:val="009C55FF"/>
    <w:rsid w:val="009D6A3C"/>
    <w:rsid w:val="009D6EB2"/>
    <w:rsid w:val="009E3332"/>
    <w:rsid w:val="009E41C3"/>
    <w:rsid w:val="009E761C"/>
    <w:rsid w:val="009F0156"/>
    <w:rsid w:val="009F0F45"/>
    <w:rsid w:val="009F1E08"/>
    <w:rsid w:val="009F33A3"/>
    <w:rsid w:val="009F5379"/>
    <w:rsid w:val="009F698B"/>
    <w:rsid w:val="00A0033D"/>
    <w:rsid w:val="00A03EC8"/>
    <w:rsid w:val="00A0604C"/>
    <w:rsid w:val="00A11B0D"/>
    <w:rsid w:val="00A120BD"/>
    <w:rsid w:val="00A176AA"/>
    <w:rsid w:val="00A205D5"/>
    <w:rsid w:val="00A239B4"/>
    <w:rsid w:val="00A23D5F"/>
    <w:rsid w:val="00A25AFF"/>
    <w:rsid w:val="00A32DC9"/>
    <w:rsid w:val="00A33349"/>
    <w:rsid w:val="00A33FE6"/>
    <w:rsid w:val="00A44D43"/>
    <w:rsid w:val="00A452D2"/>
    <w:rsid w:val="00A470EC"/>
    <w:rsid w:val="00A50C4A"/>
    <w:rsid w:val="00A50F78"/>
    <w:rsid w:val="00A51224"/>
    <w:rsid w:val="00A5755C"/>
    <w:rsid w:val="00A63E56"/>
    <w:rsid w:val="00A66FD8"/>
    <w:rsid w:val="00A670EA"/>
    <w:rsid w:val="00A70684"/>
    <w:rsid w:val="00A7100E"/>
    <w:rsid w:val="00A71A98"/>
    <w:rsid w:val="00A7291A"/>
    <w:rsid w:val="00A7417E"/>
    <w:rsid w:val="00A819B1"/>
    <w:rsid w:val="00A9009D"/>
    <w:rsid w:val="00A9242A"/>
    <w:rsid w:val="00A92BC1"/>
    <w:rsid w:val="00AA28F0"/>
    <w:rsid w:val="00AA2C54"/>
    <w:rsid w:val="00AA3EF4"/>
    <w:rsid w:val="00AA65DC"/>
    <w:rsid w:val="00AA7CBC"/>
    <w:rsid w:val="00AB36D0"/>
    <w:rsid w:val="00AB4CA0"/>
    <w:rsid w:val="00AB59CA"/>
    <w:rsid w:val="00AB60CB"/>
    <w:rsid w:val="00AC0C78"/>
    <w:rsid w:val="00AC175C"/>
    <w:rsid w:val="00AC4BC5"/>
    <w:rsid w:val="00AC6896"/>
    <w:rsid w:val="00AD4ACE"/>
    <w:rsid w:val="00AD4BAD"/>
    <w:rsid w:val="00AD5676"/>
    <w:rsid w:val="00AD5886"/>
    <w:rsid w:val="00AD6E3F"/>
    <w:rsid w:val="00AE08D5"/>
    <w:rsid w:val="00AE3466"/>
    <w:rsid w:val="00AF1471"/>
    <w:rsid w:val="00AF36BF"/>
    <w:rsid w:val="00AF53EC"/>
    <w:rsid w:val="00AF647B"/>
    <w:rsid w:val="00B010E5"/>
    <w:rsid w:val="00B048AA"/>
    <w:rsid w:val="00B13870"/>
    <w:rsid w:val="00B1500D"/>
    <w:rsid w:val="00B1629F"/>
    <w:rsid w:val="00B1672F"/>
    <w:rsid w:val="00B30486"/>
    <w:rsid w:val="00B3494F"/>
    <w:rsid w:val="00B427DC"/>
    <w:rsid w:val="00B44119"/>
    <w:rsid w:val="00B4671F"/>
    <w:rsid w:val="00B50F62"/>
    <w:rsid w:val="00B55AA4"/>
    <w:rsid w:val="00B60779"/>
    <w:rsid w:val="00B61496"/>
    <w:rsid w:val="00B63E05"/>
    <w:rsid w:val="00B66717"/>
    <w:rsid w:val="00B67AA7"/>
    <w:rsid w:val="00B72669"/>
    <w:rsid w:val="00B76DF4"/>
    <w:rsid w:val="00B76EEF"/>
    <w:rsid w:val="00B776C1"/>
    <w:rsid w:val="00B867D1"/>
    <w:rsid w:val="00B92977"/>
    <w:rsid w:val="00B92987"/>
    <w:rsid w:val="00B9437F"/>
    <w:rsid w:val="00B96073"/>
    <w:rsid w:val="00B962B5"/>
    <w:rsid w:val="00B968F0"/>
    <w:rsid w:val="00B96DB3"/>
    <w:rsid w:val="00BA2D4B"/>
    <w:rsid w:val="00BA3FBD"/>
    <w:rsid w:val="00BA7F8D"/>
    <w:rsid w:val="00BB48CE"/>
    <w:rsid w:val="00BB4CED"/>
    <w:rsid w:val="00BB57BA"/>
    <w:rsid w:val="00BB67B3"/>
    <w:rsid w:val="00BC3CDC"/>
    <w:rsid w:val="00BC4382"/>
    <w:rsid w:val="00BC5D5E"/>
    <w:rsid w:val="00BC6D9B"/>
    <w:rsid w:val="00BC7D69"/>
    <w:rsid w:val="00BC7FC3"/>
    <w:rsid w:val="00BD5B4F"/>
    <w:rsid w:val="00BD7B20"/>
    <w:rsid w:val="00BE0E9A"/>
    <w:rsid w:val="00BE4D46"/>
    <w:rsid w:val="00BE4D54"/>
    <w:rsid w:val="00BE72CC"/>
    <w:rsid w:val="00BF0580"/>
    <w:rsid w:val="00BF185A"/>
    <w:rsid w:val="00BF2DD0"/>
    <w:rsid w:val="00C01970"/>
    <w:rsid w:val="00C032A0"/>
    <w:rsid w:val="00C05C98"/>
    <w:rsid w:val="00C06939"/>
    <w:rsid w:val="00C0782F"/>
    <w:rsid w:val="00C20DBD"/>
    <w:rsid w:val="00C246E2"/>
    <w:rsid w:val="00C24BCF"/>
    <w:rsid w:val="00C27505"/>
    <w:rsid w:val="00C30F82"/>
    <w:rsid w:val="00C35EEA"/>
    <w:rsid w:val="00C40F18"/>
    <w:rsid w:val="00C41F0D"/>
    <w:rsid w:val="00C42F38"/>
    <w:rsid w:val="00C5033A"/>
    <w:rsid w:val="00C50B8F"/>
    <w:rsid w:val="00C525DF"/>
    <w:rsid w:val="00C52DB2"/>
    <w:rsid w:val="00C546DD"/>
    <w:rsid w:val="00C54918"/>
    <w:rsid w:val="00C553C3"/>
    <w:rsid w:val="00C64A12"/>
    <w:rsid w:val="00C650DE"/>
    <w:rsid w:val="00C66303"/>
    <w:rsid w:val="00C66BB9"/>
    <w:rsid w:val="00C7017C"/>
    <w:rsid w:val="00C73986"/>
    <w:rsid w:val="00C7746B"/>
    <w:rsid w:val="00C77C77"/>
    <w:rsid w:val="00C8105F"/>
    <w:rsid w:val="00C81379"/>
    <w:rsid w:val="00C816B2"/>
    <w:rsid w:val="00C81970"/>
    <w:rsid w:val="00C87101"/>
    <w:rsid w:val="00C94D24"/>
    <w:rsid w:val="00C967CD"/>
    <w:rsid w:val="00CA0B2C"/>
    <w:rsid w:val="00CA1024"/>
    <w:rsid w:val="00CA290E"/>
    <w:rsid w:val="00CA3A89"/>
    <w:rsid w:val="00CA4EA9"/>
    <w:rsid w:val="00CB2ED2"/>
    <w:rsid w:val="00CB5DCB"/>
    <w:rsid w:val="00CC0015"/>
    <w:rsid w:val="00CC263F"/>
    <w:rsid w:val="00CD2C52"/>
    <w:rsid w:val="00CD602C"/>
    <w:rsid w:val="00CD62C1"/>
    <w:rsid w:val="00CD7481"/>
    <w:rsid w:val="00CE2A66"/>
    <w:rsid w:val="00CE375B"/>
    <w:rsid w:val="00CE7232"/>
    <w:rsid w:val="00CE79D7"/>
    <w:rsid w:val="00CF1C01"/>
    <w:rsid w:val="00CF390A"/>
    <w:rsid w:val="00D023CF"/>
    <w:rsid w:val="00D043F3"/>
    <w:rsid w:val="00D11F90"/>
    <w:rsid w:val="00D126D3"/>
    <w:rsid w:val="00D12DF6"/>
    <w:rsid w:val="00D21546"/>
    <w:rsid w:val="00D22A0E"/>
    <w:rsid w:val="00D241C5"/>
    <w:rsid w:val="00D24F9A"/>
    <w:rsid w:val="00D25230"/>
    <w:rsid w:val="00D345C2"/>
    <w:rsid w:val="00D35886"/>
    <w:rsid w:val="00D37A72"/>
    <w:rsid w:val="00D41BFE"/>
    <w:rsid w:val="00D42B90"/>
    <w:rsid w:val="00D520F5"/>
    <w:rsid w:val="00D5213E"/>
    <w:rsid w:val="00D52723"/>
    <w:rsid w:val="00D530E5"/>
    <w:rsid w:val="00D54714"/>
    <w:rsid w:val="00D604F2"/>
    <w:rsid w:val="00D658CF"/>
    <w:rsid w:val="00D74542"/>
    <w:rsid w:val="00D74D35"/>
    <w:rsid w:val="00D77B41"/>
    <w:rsid w:val="00D80278"/>
    <w:rsid w:val="00D81180"/>
    <w:rsid w:val="00D9349A"/>
    <w:rsid w:val="00DA0D5E"/>
    <w:rsid w:val="00DA16AA"/>
    <w:rsid w:val="00DA30BF"/>
    <w:rsid w:val="00DA3FE8"/>
    <w:rsid w:val="00DA50C9"/>
    <w:rsid w:val="00DB1CEE"/>
    <w:rsid w:val="00DB3E9E"/>
    <w:rsid w:val="00DB591E"/>
    <w:rsid w:val="00DC30C9"/>
    <w:rsid w:val="00DD0D6E"/>
    <w:rsid w:val="00DD18CE"/>
    <w:rsid w:val="00DD1A16"/>
    <w:rsid w:val="00DD42EC"/>
    <w:rsid w:val="00DE0681"/>
    <w:rsid w:val="00DE5FDB"/>
    <w:rsid w:val="00DF0128"/>
    <w:rsid w:val="00DF2564"/>
    <w:rsid w:val="00DF2DC2"/>
    <w:rsid w:val="00DF5F9F"/>
    <w:rsid w:val="00E012CA"/>
    <w:rsid w:val="00E04A97"/>
    <w:rsid w:val="00E05A01"/>
    <w:rsid w:val="00E20678"/>
    <w:rsid w:val="00E23D9D"/>
    <w:rsid w:val="00E30145"/>
    <w:rsid w:val="00E32CDA"/>
    <w:rsid w:val="00E42B8D"/>
    <w:rsid w:val="00E42DFA"/>
    <w:rsid w:val="00E45770"/>
    <w:rsid w:val="00E520D2"/>
    <w:rsid w:val="00E52F69"/>
    <w:rsid w:val="00E55C18"/>
    <w:rsid w:val="00E6288B"/>
    <w:rsid w:val="00E638E7"/>
    <w:rsid w:val="00E65313"/>
    <w:rsid w:val="00E702FB"/>
    <w:rsid w:val="00E71137"/>
    <w:rsid w:val="00E72EC0"/>
    <w:rsid w:val="00E750D4"/>
    <w:rsid w:val="00E767B8"/>
    <w:rsid w:val="00E808C9"/>
    <w:rsid w:val="00E8326A"/>
    <w:rsid w:val="00E91974"/>
    <w:rsid w:val="00E9307D"/>
    <w:rsid w:val="00E96C5B"/>
    <w:rsid w:val="00EA10FE"/>
    <w:rsid w:val="00EA17F8"/>
    <w:rsid w:val="00EA5CFD"/>
    <w:rsid w:val="00EB0631"/>
    <w:rsid w:val="00EB09CB"/>
    <w:rsid w:val="00EB3C5A"/>
    <w:rsid w:val="00EB3D74"/>
    <w:rsid w:val="00EC0B6B"/>
    <w:rsid w:val="00EC1538"/>
    <w:rsid w:val="00EC3057"/>
    <w:rsid w:val="00ED0F91"/>
    <w:rsid w:val="00ED2DB3"/>
    <w:rsid w:val="00ED3D82"/>
    <w:rsid w:val="00ED4051"/>
    <w:rsid w:val="00ED4F45"/>
    <w:rsid w:val="00ED746E"/>
    <w:rsid w:val="00EE1598"/>
    <w:rsid w:val="00EE262B"/>
    <w:rsid w:val="00EE31D1"/>
    <w:rsid w:val="00EE664B"/>
    <w:rsid w:val="00EE68D1"/>
    <w:rsid w:val="00EE714E"/>
    <w:rsid w:val="00EF32F9"/>
    <w:rsid w:val="00EF57A8"/>
    <w:rsid w:val="00EF5B65"/>
    <w:rsid w:val="00EF6352"/>
    <w:rsid w:val="00EF63AC"/>
    <w:rsid w:val="00EF79CB"/>
    <w:rsid w:val="00EF7E0B"/>
    <w:rsid w:val="00F007E2"/>
    <w:rsid w:val="00F00D24"/>
    <w:rsid w:val="00F02180"/>
    <w:rsid w:val="00F026BD"/>
    <w:rsid w:val="00F06630"/>
    <w:rsid w:val="00F156D9"/>
    <w:rsid w:val="00F1602D"/>
    <w:rsid w:val="00F22B29"/>
    <w:rsid w:val="00F235BF"/>
    <w:rsid w:val="00F2564B"/>
    <w:rsid w:val="00F2628D"/>
    <w:rsid w:val="00F27DBF"/>
    <w:rsid w:val="00F300F5"/>
    <w:rsid w:val="00F311F9"/>
    <w:rsid w:val="00F355E6"/>
    <w:rsid w:val="00F35FE4"/>
    <w:rsid w:val="00F401E7"/>
    <w:rsid w:val="00F407B4"/>
    <w:rsid w:val="00F43CA4"/>
    <w:rsid w:val="00F607FD"/>
    <w:rsid w:val="00F63729"/>
    <w:rsid w:val="00F65C5A"/>
    <w:rsid w:val="00F709BD"/>
    <w:rsid w:val="00F70A8D"/>
    <w:rsid w:val="00F70DD5"/>
    <w:rsid w:val="00F70E49"/>
    <w:rsid w:val="00F71AA1"/>
    <w:rsid w:val="00F71F1F"/>
    <w:rsid w:val="00F752F3"/>
    <w:rsid w:val="00F80559"/>
    <w:rsid w:val="00F81F29"/>
    <w:rsid w:val="00F82F1C"/>
    <w:rsid w:val="00F83396"/>
    <w:rsid w:val="00F83FF1"/>
    <w:rsid w:val="00F849FD"/>
    <w:rsid w:val="00F90219"/>
    <w:rsid w:val="00F91559"/>
    <w:rsid w:val="00F94A92"/>
    <w:rsid w:val="00F96038"/>
    <w:rsid w:val="00F97984"/>
    <w:rsid w:val="00FA06B5"/>
    <w:rsid w:val="00FA2A9E"/>
    <w:rsid w:val="00FA2BBA"/>
    <w:rsid w:val="00FA3B5D"/>
    <w:rsid w:val="00FB0967"/>
    <w:rsid w:val="00FB2B52"/>
    <w:rsid w:val="00FB3455"/>
    <w:rsid w:val="00FB5138"/>
    <w:rsid w:val="00FC00A0"/>
    <w:rsid w:val="00FC031C"/>
    <w:rsid w:val="00FD112F"/>
    <w:rsid w:val="00FD1419"/>
    <w:rsid w:val="00FD6A76"/>
    <w:rsid w:val="00FE0388"/>
    <w:rsid w:val="00FE1D1B"/>
    <w:rsid w:val="00FE20DB"/>
    <w:rsid w:val="00FF07F9"/>
    <w:rsid w:val="00FF4C67"/>
    <w:rsid w:val="022A731E"/>
    <w:rsid w:val="02A64119"/>
    <w:rsid w:val="043D6C25"/>
    <w:rsid w:val="048667D3"/>
    <w:rsid w:val="049E006D"/>
    <w:rsid w:val="054C634F"/>
    <w:rsid w:val="07BD0E51"/>
    <w:rsid w:val="08DB7764"/>
    <w:rsid w:val="0C9A6ED5"/>
    <w:rsid w:val="100603AC"/>
    <w:rsid w:val="10F1631B"/>
    <w:rsid w:val="12A93FD5"/>
    <w:rsid w:val="130C2FEE"/>
    <w:rsid w:val="13CE1647"/>
    <w:rsid w:val="17B84A32"/>
    <w:rsid w:val="19B01875"/>
    <w:rsid w:val="1A1C1CFA"/>
    <w:rsid w:val="1AD4001C"/>
    <w:rsid w:val="1C3E1334"/>
    <w:rsid w:val="1CFD4AD4"/>
    <w:rsid w:val="1D070020"/>
    <w:rsid w:val="1EB274DF"/>
    <w:rsid w:val="20106F8E"/>
    <w:rsid w:val="22B36787"/>
    <w:rsid w:val="231125AC"/>
    <w:rsid w:val="24077BFF"/>
    <w:rsid w:val="26A5092E"/>
    <w:rsid w:val="28260401"/>
    <w:rsid w:val="2B110340"/>
    <w:rsid w:val="2CF51D47"/>
    <w:rsid w:val="2F640DE8"/>
    <w:rsid w:val="31190CC6"/>
    <w:rsid w:val="33FD7752"/>
    <w:rsid w:val="37922635"/>
    <w:rsid w:val="379540A7"/>
    <w:rsid w:val="3989156E"/>
    <w:rsid w:val="3A15477F"/>
    <w:rsid w:val="3A242466"/>
    <w:rsid w:val="3C47334E"/>
    <w:rsid w:val="3CB26D1E"/>
    <w:rsid w:val="3EF07F7A"/>
    <w:rsid w:val="43ED3C40"/>
    <w:rsid w:val="495323ED"/>
    <w:rsid w:val="4AF3601A"/>
    <w:rsid w:val="4BA315C9"/>
    <w:rsid w:val="4CC6446A"/>
    <w:rsid w:val="544D740E"/>
    <w:rsid w:val="55AE0FCF"/>
    <w:rsid w:val="58FE18D5"/>
    <w:rsid w:val="594914BB"/>
    <w:rsid w:val="5CA82CD1"/>
    <w:rsid w:val="5FCE09A6"/>
    <w:rsid w:val="60ED5F11"/>
    <w:rsid w:val="64122457"/>
    <w:rsid w:val="646426D5"/>
    <w:rsid w:val="64BC4F31"/>
    <w:rsid w:val="64C3416F"/>
    <w:rsid w:val="6624577F"/>
    <w:rsid w:val="67161F83"/>
    <w:rsid w:val="68817BAC"/>
    <w:rsid w:val="68DB6F84"/>
    <w:rsid w:val="6A1706CF"/>
    <w:rsid w:val="6A563FBC"/>
    <w:rsid w:val="6A7E3167"/>
    <w:rsid w:val="6D873407"/>
    <w:rsid w:val="6DA24319"/>
    <w:rsid w:val="6EA81B75"/>
    <w:rsid w:val="6FE35A27"/>
    <w:rsid w:val="72167982"/>
    <w:rsid w:val="739B783A"/>
    <w:rsid w:val="75536D10"/>
    <w:rsid w:val="75B30C82"/>
    <w:rsid w:val="76B57CE1"/>
    <w:rsid w:val="770E7892"/>
    <w:rsid w:val="77980A6E"/>
    <w:rsid w:val="77F71564"/>
    <w:rsid w:val="792A54A4"/>
    <w:rsid w:val="79F159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63A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sid w:val="00EF63AC"/>
    <w:rPr>
      <w:sz w:val="18"/>
      <w:szCs w:val="18"/>
    </w:rPr>
  </w:style>
  <w:style w:type="paragraph" w:styleId="a4">
    <w:name w:val="footer"/>
    <w:basedOn w:val="a"/>
    <w:link w:val="Char"/>
    <w:qFormat/>
    <w:rsid w:val="00EF63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qFormat/>
    <w:rsid w:val="00EF63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qFormat/>
    <w:rsid w:val="00EF63AC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qFormat/>
    <w:rsid w:val="00EF63AC"/>
  </w:style>
  <w:style w:type="character" w:styleId="a8">
    <w:name w:val="Hyperlink"/>
    <w:qFormat/>
    <w:rsid w:val="00EF63AC"/>
    <w:rPr>
      <w:color w:val="0000FF"/>
      <w:u w:val="single"/>
    </w:rPr>
  </w:style>
  <w:style w:type="character" w:customStyle="1" w:styleId="1">
    <w:name w:val="已访问的超链接1"/>
    <w:qFormat/>
    <w:rsid w:val="00EF63AC"/>
    <w:rPr>
      <w:color w:val="800080"/>
      <w:u w:val="single"/>
    </w:rPr>
  </w:style>
  <w:style w:type="character" w:customStyle="1" w:styleId="Char0">
    <w:name w:val="页眉 Char"/>
    <w:link w:val="a5"/>
    <w:qFormat/>
    <w:rsid w:val="00EF63AC"/>
    <w:rPr>
      <w:kern w:val="2"/>
      <w:sz w:val="18"/>
      <w:szCs w:val="18"/>
    </w:rPr>
  </w:style>
  <w:style w:type="character" w:customStyle="1" w:styleId="Char">
    <w:name w:val="页脚 Char"/>
    <w:link w:val="a4"/>
    <w:qFormat/>
    <w:rsid w:val="00EF63AC"/>
    <w:rPr>
      <w:kern w:val="2"/>
      <w:sz w:val="18"/>
      <w:szCs w:val="18"/>
    </w:rPr>
  </w:style>
  <w:style w:type="paragraph" w:customStyle="1" w:styleId="21">
    <w:name w:val="目录 21"/>
    <w:basedOn w:val="a"/>
    <w:next w:val="a"/>
    <w:uiPriority w:val="39"/>
    <w:qFormat/>
    <w:rsid w:val="00EF63AC"/>
    <w:pPr>
      <w:tabs>
        <w:tab w:val="right" w:leader="dot" w:pos="8494"/>
      </w:tabs>
      <w:spacing w:line="560" w:lineRule="exact"/>
      <w:ind w:left="210"/>
      <w:jc w:val="left"/>
    </w:pPr>
    <w:rPr>
      <w:rFonts w:ascii="仿宋_GB2312" w:eastAsia="仿宋_GB2312" w:hAnsi="Calibri" w:cs="Calibri"/>
      <w:smallCaps/>
      <w:sz w:val="28"/>
      <w:szCs w:val="28"/>
    </w:rPr>
  </w:style>
  <w:style w:type="paragraph" w:customStyle="1" w:styleId="11">
    <w:name w:val="目录 11"/>
    <w:basedOn w:val="a"/>
    <w:next w:val="a"/>
    <w:uiPriority w:val="39"/>
    <w:qFormat/>
    <w:rsid w:val="00EF63AC"/>
    <w:pPr>
      <w:tabs>
        <w:tab w:val="left" w:pos="840"/>
        <w:tab w:val="right" w:leader="dot" w:pos="8296"/>
      </w:tabs>
      <w:spacing w:line="560" w:lineRule="exact"/>
      <w:jc w:val="left"/>
    </w:pPr>
    <w:rPr>
      <w:rFonts w:ascii="仿宋_GB2312" w:eastAsia="仿宋_GB2312" w:hAnsi="新宋体" w:cs="Calibri"/>
      <w:b/>
      <w:bCs/>
      <w:caps/>
      <w:sz w:val="28"/>
      <w:szCs w:val="28"/>
    </w:rPr>
  </w:style>
  <w:style w:type="paragraph" w:customStyle="1" w:styleId="CharCharCharCharCharCharChar">
    <w:name w:val="Char Char Char Char Char Char Char"/>
    <w:basedOn w:val="a"/>
    <w:qFormat/>
    <w:rsid w:val="00EF63AC"/>
    <w:rPr>
      <w:szCs w:val="21"/>
    </w:rPr>
  </w:style>
  <w:style w:type="paragraph" w:customStyle="1" w:styleId="10">
    <w:name w:val="列出段落1"/>
    <w:basedOn w:val="a"/>
    <w:uiPriority w:val="34"/>
    <w:qFormat/>
    <w:rsid w:val="00EF63AC"/>
    <w:pPr>
      <w:ind w:firstLineChars="200" w:firstLine="420"/>
    </w:pPr>
    <w:rPr>
      <w:rFonts w:ascii="Calibri" w:hAnsi="Calibri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403</Words>
  <Characters>2299</Characters>
  <Application>Microsoft Office Word</Application>
  <DocSecurity>0</DocSecurity>
  <Lines>19</Lines>
  <Paragraphs>5</Paragraphs>
  <ScaleCrop>false</ScaleCrop>
  <Company>czj</Company>
  <LinksUpToDate>false</LinksUpToDate>
  <CharactersWithSpaces>2697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关于进行本市部门整体支出</dc:title>
  <dc:creator>傅海英</dc:creator>
  <cp:lastModifiedBy>PC</cp:lastModifiedBy>
  <cp:revision>2</cp:revision>
  <cp:lastPrinted>2019-06-21T02:10:00Z</cp:lastPrinted>
  <dcterms:created xsi:type="dcterms:W3CDTF">2025-09-23T08:06:00Z</dcterms:created>
  <dcterms:modified xsi:type="dcterms:W3CDTF">2025-09-23T08:06:00Z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739EEDB2ECE141DEAF0C3D87D58590AD_13</vt:lpwstr>
  </property>
  <property fmtid="{D5CDD505-2E9C-101B-9397-08002B2CF9AE}" pid="4" name="KSOTemplateDocerSaveRecord">
    <vt:lpwstr>eyJoZGlkIjoiYjI2ZWIxNzBhOWM3YmNkMjVjMWZjMWQ2NzA4MDFlZmYiLCJ1c2VySWQiOiIxNDU0MjIwNjc4In0=</vt:lpwstr>
  </property>
</Properties>
</file>