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5F" w:rsidRPr="00102CEA" w:rsidRDefault="008B205F" w:rsidP="000D414E">
      <w:pPr>
        <w:spacing w:line="240" w:lineRule="atLeast"/>
        <w:jc w:val="distribute"/>
        <w:rPr>
          <w:rFonts w:ascii="Times New Roman" w:eastAsia="华文新魏" w:hAnsi="Times New Roman" w:cs="Times New Roman"/>
          <w:b/>
          <w:color w:val="000000"/>
          <w:kern w:val="0"/>
          <w:sz w:val="44"/>
          <w:szCs w:val="44"/>
        </w:rPr>
      </w:pPr>
      <w:r w:rsidRPr="00102CEA">
        <w:rPr>
          <w:rFonts w:ascii="Times New Roman" w:eastAsia="华文新魏" w:hAnsi="Times New Roman" w:cs="Times New Roman" w:hint="eastAsia"/>
          <w:b/>
          <w:color w:val="FF0000"/>
          <w:w w:val="66"/>
          <w:kern w:val="0"/>
          <w:sz w:val="150"/>
          <w:szCs w:val="150"/>
        </w:rPr>
        <w:t>商务信息与调研</w:t>
      </w:r>
    </w:p>
    <w:p w:rsidR="00995565" w:rsidRPr="00995565" w:rsidRDefault="00995565" w:rsidP="00B81F70">
      <w:pPr>
        <w:spacing w:line="290" w:lineRule="exact"/>
        <w:jc w:val="center"/>
        <w:rPr>
          <w:rFonts w:ascii="Times New Roman" w:eastAsia="方正小标宋简体" w:hAnsi="Times New Roman" w:cs="Times New Roman" w:hint="eastAsia"/>
          <w:color w:val="3E3E3E"/>
          <w:sz w:val="44"/>
          <w:szCs w:val="44"/>
          <w:shd w:val="clear" w:color="auto" w:fill="FFFFFF"/>
        </w:rPr>
      </w:pPr>
    </w:p>
    <w:p w:rsidR="008B205F" w:rsidRPr="00102CEA" w:rsidRDefault="008B205F" w:rsidP="00377EEB">
      <w:pPr>
        <w:spacing w:line="580" w:lineRule="exact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102CEA">
        <w:rPr>
          <w:rFonts w:ascii="Times New Roman" w:hAnsi="Times New Roman" w:cs="Times New Roman" w:hint="eastAsia"/>
          <w:b/>
          <w:spacing w:val="100"/>
          <w:sz w:val="32"/>
          <w:szCs w:val="32"/>
        </w:rPr>
        <w:t>第</w:t>
      </w:r>
      <w:r w:rsidRPr="00102CEA">
        <w:rPr>
          <w:rFonts w:ascii="Times New Roman" w:hAnsi="Times New Roman" w:cs="Times New Roman" w:hint="eastAsia"/>
          <w:b/>
          <w:spacing w:val="100"/>
          <w:sz w:val="32"/>
          <w:szCs w:val="32"/>
        </w:rPr>
        <w:t>40</w:t>
      </w:r>
      <w:r w:rsidRPr="00102CEA">
        <w:rPr>
          <w:rFonts w:ascii="Times New Roman" w:hAnsi="Times New Roman" w:cs="Times New Roman" w:hint="eastAsia"/>
          <w:b/>
          <w:spacing w:val="100"/>
          <w:sz w:val="32"/>
          <w:szCs w:val="32"/>
        </w:rPr>
        <w:t>期</w:t>
      </w:r>
    </w:p>
    <w:p w:rsidR="008B205F" w:rsidRDefault="008B205F" w:rsidP="00377EEB">
      <w:pPr>
        <w:spacing w:line="580" w:lineRule="exact"/>
        <w:jc w:val="center"/>
        <w:rPr>
          <w:rFonts w:ascii="Times New Roman" w:hAnsi="Times New Roman" w:cs="Times New Roman" w:hint="eastAsia"/>
          <w:b/>
          <w:spacing w:val="40"/>
          <w:sz w:val="32"/>
          <w:szCs w:val="32"/>
        </w:rPr>
      </w:pPr>
      <w:r w:rsidRPr="00102CEA">
        <w:rPr>
          <w:rFonts w:ascii="Times New Roman" w:hAnsi="Times New Roman" w:cs="Times New Roman" w:hint="eastAsia"/>
          <w:b/>
          <w:spacing w:val="40"/>
          <w:sz w:val="32"/>
          <w:szCs w:val="32"/>
        </w:rPr>
        <w:t>（总第</w:t>
      </w:r>
      <w:r w:rsidRPr="00102CEA">
        <w:rPr>
          <w:rFonts w:ascii="Times New Roman" w:hAnsi="Times New Roman" w:cs="Times New Roman" w:hint="eastAsia"/>
          <w:b/>
          <w:spacing w:val="40"/>
          <w:sz w:val="32"/>
          <w:szCs w:val="32"/>
        </w:rPr>
        <w:t>589</w:t>
      </w:r>
      <w:r w:rsidRPr="00102CEA">
        <w:rPr>
          <w:rFonts w:ascii="Times New Roman" w:hAnsi="Times New Roman" w:cs="Times New Roman" w:hint="eastAsia"/>
          <w:b/>
          <w:spacing w:val="40"/>
          <w:sz w:val="32"/>
          <w:szCs w:val="32"/>
        </w:rPr>
        <w:t>期）</w:t>
      </w:r>
    </w:p>
    <w:p w:rsidR="00B81F70" w:rsidRPr="00102CEA" w:rsidRDefault="00B81F70" w:rsidP="00B81F70">
      <w:pPr>
        <w:spacing w:line="290" w:lineRule="exact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8B205F" w:rsidRPr="00102CEA" w:rsidRDefault="008B205F" w:rsidP="00377EEB">
      <w:pPr>
        <w:spacing w:line="580" w:lineRule="exact"/>
        <w:ind w:left="720" w:hangingChars="224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CEA">
        <w:rPr>
          <w:rFonts w:ascii="Times New Roman" w:hAnsi="Times New Roman" w:cs="Times New Roman" w:hint="eastAsia"/>
          <w:b/>
          <w:sz w:val="32"/>
          <w:szCs w:val="32"/>
        </w:rPr>
        <w:t>苏州市商务局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 xml:space="preserve">    </w:t>
      </w:r>
      <w:r w:rsidRPr="00102CEA">
        <w:rPr>
          <w:rFonts w:ascii="Times New Roman" w:hAnsi="Times New Roman" w:cs="Times New Roman" w:hint="eastAsia"/>
          <w:sz w:val="32"/>
          <w:szCs w:val="32"/>
        </w:rPr>
        <w:t xml:space="preserve">                     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2019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月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26</w:t>
      </w:r>
      <w:r w:rsidRPr="00102CEA">
        <w:rPr>
          <w:rFonts w:ascii="Times New Roman" w:hAnsi="Times New Roman" w:cs="Times New Roman" w:hint="eastAsia"/>
          <w:b/>
          <w:sz w:val="32"/>
          <w:szCs w:val="32"/>
        </w:rPr>
        <w:t>日</w:t>
      </w:r>
      <w:bookmarkStart w:id="0" w:name="OLE_LINK1"/>
      <w:bookmarkEnd w:id="0"/>
    </w:p>
    <w:p w:rsidR="00377EEB" w:rsidRPr="00102CEA" w:rsidRDefault="002C256D" w:rsidP="00995565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256D">
        <w:rPr>
          <w:rFonts w:ascii="Times New Roman" w:eastAsia="方正小标宋简体" w:hAnsi="Times New Roman" w:cs="Times New Roman"/>
          <w:color w:val="3E3E3E"/>
          <w:sz w:val="10"/>
          <w:szCs w:val="10"/>
          <w:shd w:val="clear" w:color="auto" w:fill="FFFFFF"/>
        </w:rPr>
        <w:pict>
          <v:line id="Line 2" o:spid="_x0000_s1026" style="position:absolute;left:0;text-align:left;z-index:-251658752" from="-33.25pt,13.15pt" to="477pt,13.15pt" strokecolor="red" strokeweight="2pt"/>
        </w:pict>
      </w:r>
    </w:p>
    <w:p w:rsidR="00B112F0" w:rsidRPr="00102CEA" w:rsidRDefault="00B112F0" w:rsidP="00377EEB">
      <w:pPr>
        <w:adjustRightInd w:val="0"/>
        <w:snapToGrid w:val="0"/>
        <w:spacing w:line="556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市商务局认真贯彻落实蓝书记批示精神</w:t>
      </w: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 xml:space="preserve"> </w:t>
      </w:r>
    </w:p>
    <w:p w:rsidR="000E70A2" w:rsidRPr="00102CEA" w:rsidRDefault="00B112F0" w:rsidP="00377EEB">
      <w:pPr>
        <w:adjustRightInd w:val="0"/>
        <w:snapToGrid w:val="0"/>
        <w:spacing w:line="556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五着并举针对性加强招商引资工作</w:t>
      </w:r>
    </w:p>
    <w:p w:rsidR="005600DD" w:rsidRPr="00102CEA" w:rsidRDefault="005600D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D55AD7" w:rsidRPr="00102CEA" w:rsidRDefault="005600D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近期，上海美国商会正式发布了《上海美国商会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2019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年中国商业报告》，报告收集了来自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333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家</w:t>
      </w:r>
      <w:r w:rsidR="000A1BFC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在华美资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企业高层的反馈，</w:t>
      </w:r>
      <w:r w:rsidR="00D55AD7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内容涵盖了经营业绩、运营挑战、投资计划、贸易政策、关税加征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等一系列的焦点话题。</w:t>
      </w:r>
      <w:r w:rsidR="00D55AD7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省委常委、市委书记蓝绍敏对报告作出重要批示，明确要求“市商务局要针对性做好招商指导”。下一步，我局将认真贯彻落实蓝书记批示精神，深入学习研究该报告，</w:t>
      </w:r>
      <w:r w:rsidR="000A1BFC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持之以恒抓招商、抓项目、抓服务，</w:t>
      </w:r>
      <w:r w:rsidR="009F4C9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坚持把高质量项目作为引领高质量发展的支点，</w:t>
      </w:r>
      <w:r w:rsidR="00D55AD7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促进全市外资招商工作向更高水平、更高层次、更高质量发展。</w:t>
      </w:r>
    </w:p>
    <w:p w:rsidR="000C2DDC" w:rsidRPr="00102CEA" w:rsidRDefault="000C2DDC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一、</w:t>
      </w: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1</w:t>
      </w: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～</w:t>
      </w: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8</w:t>
      </w: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月全市外资发展情况</w:t>
      </w:r>
    </w:p>
    <w:p w:rsidR="000C2DDC" w:rsidRPr="00102CEA" w:rsidRDefault="000C2DDC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今年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～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月，全市利用外资继续呈现稳中向好、量质并举发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lastRenderedPageBreak/>
        <w:t>展态势，新设外资项目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638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个，新增注册外资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82.4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亿美元，同比增长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8.5%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。实际使用外资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38.4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亿美元，同比增长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5.7%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，占全省的比重提升至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21.1%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，已完成全年目标的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84.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0C2DDC" w:rsidRPr="00102CEA" w:rsidRDefault="000C2DDC" w:rsidP="00377EEB">
      <w:pPr>
        <w:overflowPunct w:val="0"/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一是引资结构</w:t>
      </w:r>
      <w:r w:rsidR="005A2DA0"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持续</w:t>
      </w:r>
      <w:r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优化。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制造业新设项目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190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个，新增注册外资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39.6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亿美元，占总额的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48.1%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，其中新兴产业项目数、注册外资占比分别为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56.3%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、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72%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。服务业新设项目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446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个，占总数的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69.9%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，注册外资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42.8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亿美元，实际使用外资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16.5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亿美元，占比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提升至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42.9%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，较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～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月提高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1.3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个百分点。战略性新兴产业</w:t>
      </w:r>
      <w:r w:rsidR="00911AF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实际使用外资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21.16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亿美元，同比增长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25.8%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，占总额的比重达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55.1%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，高出年度占比目标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14.6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个百分点。</w:t>
      </w:r>
    </w:p>
    <w:p w:rsidR="000C2DDC" w:rsidRPr="00102CEA" w:rsidRDefault="000C2DDC" w:rsidP="00377EEB">
      <w:pPr>
        <w:overflowPunct w:val="0"/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二是大项目支撑</w:t>
      </w:r>
      <w:r w:rsidR="005A2DA0"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作用</w:t>
      </w:r>
      <w:r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凸显。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新增总投资超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5000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万美元项目（含增资）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86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个，注册外资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51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亿美元，占全市引资增量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57.8%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。实际使用外资超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3000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万美元的项目共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29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个，合计实际使用外资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21.53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亿美元，占总额的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56.1%</w:t>
      </w:r>
      <w:r w:rsidR="00911AF1"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356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家外商投资企业增资，新增注册外资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47.7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亿美元，占总额的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57.9%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0C2DDC" w:rsidRPr="00102CEA" w:rsidRDefault="000C2DDC" w:rsidP="00377EEB">
      <w:pPr>
        <w:overflowPunct w:val="0"/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napToGrid w:val="0"/>
          <w:spacing w:val="-4"/>
          <w:kern w:val="0"/>
          <w:sz w:val="32"/>
          <w:szCs w:val="32"/>
        </w:rPr>
        <w:t>三是外资总部经济加快发展。</w:t>
      </w:r>
      <w:r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引进群景投资、邱钛投资、飞利浦企业服务等一批知名跨国公司投资的总部及功能型项目。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新引进和形成的具有地区总部特征或共享功能的外资企业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个，</w:t>
      </w:r>
      <w:r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累计已有具有地区总部特征或共享功能的外资企业超过</w:t>
      </w:r>
      <w:r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310</w:t>
      </w:r>
      <w:r w:rsidRPr="00102CEA"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家。</w:t>
      </w:r>
    </w:p>
    <w:p w:rsidR="009F4C91" w:rsidRPr="00102CEA" w:rsidRDefault="000C2DDC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二</w:t>
      </w:r>
      <w:r w:rsidR="009F4C91"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、在苏美资发展情况</w:t>
      </w:r>
    </w:p>
    <w:p w:rsidR="009F4C91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长期以来，美国一直是苏州重要的外资来源地之一。截至目前，我市已有美资企业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</w:t>
      </w:r>
      <w:r w:rsidR="005642EB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00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余家，实际使用美资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</w:t>
      </w:r>
      <w:r w:rsidR="005642EB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5.5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亿美元，占全市累计实际使用外资总额的比重达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5.7%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5642EB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lastRenderedPageBreak/>
        <w:t>美国在苏投资规模较大的企业包括礼来苏州制药有限公司（投资总额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19.9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亿美元，注册资本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6.6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亿美元）、摩森康胜啤酒饮料（苏州）有限公司（投资总额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3.7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亿美元，注册资本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1.4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亿美元）、陶氏有机硅（张家港）有限公司（投资总额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3.3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亿美元，注册资本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1.1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亿美元）等。</w:t>
      </w:r>
    </w:p>
    <w:p w:rsidR="005642EB" w:rsidRPr="00102CEA" w:rsidRDefault="005642EB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今年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～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月，全市新增美国投资项目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37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个，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占全市项目总数的比重为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5.8%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；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注册美资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1.03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，占全市注册外资比重为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1.2%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；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实际使用美资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2.9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亿美元，占全市利用外资总额的比重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为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7.6%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9F4C91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二、下一阶段针对性招商工作思路</w:t>
      </w:r>
    </w:p>
    <w:p w:rsidR="009F4C91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下一阶段，我局将进一步深化对招商引资工作极端重要性的认识，</w:t>
      </w:r>
      <w:r w:rsidR="00E80ED2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贯彻落实蓝书记关于抓招商、抓项目是个永恒主题的指示精神，</w:t>
      </w:r>
      <w:r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不断创新招商体制，优化投资环境，以更加坚定的决心、更加有力的举措、更加务实的作风，主动担当作为，科学谋划推进，</w:t>
      </w:r>
      <w:r w:rsidR="00BC7FB3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精心</w:t>
      </w:r>
      <w:r w:rsidR="005A2DA0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服务</w:t>
      </w:r>
      <w:r w:rsidR="00BC7FB3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指导，</w:t>
      </w:r>
      <w:r w:rsidR="00890C65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在我市</w:t>
      </w:r>
      <w:r w:rsidR="00583655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加快</w:t>
      </w:r>
      <w:r w:rsidR="00FD2571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高质量发展</w:t>
      </w:r>
      <w:r w:rsidR="00890C65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的关键阶段</w:t>
      </w:r>
      <w:r w:rsidR="00FC7D5F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，</w:t>
      </w:r>
      <w:r w:rsidR="005A2DA0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推动</w:t>
      </w:r>
      <w:r w:rsidR="00E80ED2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形成</w:t>
      </w:r>
      <w:r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招商引资</w:t>
      </w:r>
      <w:r w:rsidR="00E80ED2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工作新局面</w:t>
      </w:r>
      <w:r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，打造苏州招商引资</w:t>
      </w:r>
      <w:r w:rsidR="00E3768B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最强</w:t>
      </w:r>
      <w:r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“磁场”。</w:t>
      </w:r>
      <w:r w:rsidR="00911AF1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重点将抓好五个方面工作：</w:t>
      </w:r>
    </w:p>
    <w:p w:rsidR="009F4C91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bCs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（一）强化政策</w:t>
      </w:r>
      <w:r w:rsidR="002A3F2B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支撑新</w:t>
      </w:r>
      <w:r w:rsidR="001460C3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举措</w:t>
      </w:r>
      <w:r w:rsidR="00F30078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。</w:t>
      </w:r>
      <w:r w:rsidR="001460C3"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贯彻好《外商投资法》，在高效实施准入前国民待遇加负面清单管理制度的基础上，率先落实外资企业准入后国民待遇。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不折不扣落实好近年来制定出台</w:t>
      </w:r>
      <w:r w:rsidR="00036EB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《关于加强招商引资工作的若干意见》《苏州市贯彻落实扩大对外开放积极利用外资政策的实施意见》《关于促进利用外资高质量发展的若干措施》等</w:t>
      </w:r>
      <w:r w:rsidR="00036EB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系列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政策文件</w:t>
      </w:r>
      <w:r w:rsidR="001460C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="008B45B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支持省级以上开发区制定引进外资</w:t>
      </w:r>
      <w:r w:rsidR="008B45B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lastRenderedPageBreak/>
        <w:t>工作目标绩效考核和奖励常态化制度，并将招商成果、服务成效等纳入考核激励。</w:t>
      </w:r>
    </w:p>
    <w:p w:rsidR="008F3DE5" w:rsidRPr="00102CEA" w:rsidRDefault="009F4C91" w:rsidP="00377E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56" w:lineRule="exact"/>
        <w:ind w:firstLineChars="200" w:firstLine="624"/>
        <w:jc w:val="both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（二）布局产业招商新</w:t>
      </w:r>
      <w:r w:rsidR="001460C3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格局</w:t>
      </w: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。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严格执行最新版外资准入负面清单和鼓励外商投资产业目录，积极扩大行业门类和业务领域对外开放。聚焦投资强度、环境友好度和未来成长度，有针对性地建链、补链、延链、强链。立足地方资源禀赋条件，强化对外资先进制造和先导产业领域的产业精准招商</w:t>
      </w:r>
      <w:r w:rsidR="001460C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积极拓展生产性服务业外资来源</w:t>
      </w:r>
      <w:r w:rsidR="001460C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扩大生活服务业利用外资</w:t>
      </w:r>
      <w:r w:rsidR="001460C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="008F3DE5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落实省级外资总部经济专项扶持政策，做好省级跨国公司地区总部和功能性机构的培育、认定等工作。</w:t>
      </w:r>
    </w:p>
    <w:p w:rsidR="00F537FD" w:rsidRPr="00102CEA" w:rsidRDefault="009F4C91" w:rsidP="00377E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56" w:lineRule="exact"/>
        <w:ind w:firstLineChars="200" w:firstLine="624"/>
        <w:jc w:val="both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（三）优化招商引资新机制。</w:t>
      </w:r>
      <w:r w:rsidR="008812A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强化市级统筹协调、板块为主、各方职责明晰的工作促进体系，推动各地切实将招商工作放到更突出位置来抓，做到主要领导、分管领导、具体负责同志人人有压力有责任、个个有担当有作为。</w:t>
      </w:r>
      <w:r w:rsidR="00C32580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推动改变仅以引资规模论英雄的方式，更加注重项目对结构优化、产业提升、消费升级的引领带动作用，对高端要素的吸纳集聚能力和溢出效应。</w:t>
      </w:r>
      <w:r w:rsidR="00F537F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进一步完善招商工作考评机制，</w:t>
      </w:r>
      <w:r w:rsidR="008812A3" w:rsidRPr="00102CEA">
        <w:rPr>
          <w:rFonts w:ascii="Times New Roman" w:eastAsia="仿宋_GB2312" w:hAnsi="Times New Roman" w:cs="Times New Roman" w:hint="eastAsia"/>
          <w:snapToGrid w:val="0"/>
          <w:spacing w:val="-4"/>
          <w:sz w:val="32"/>
          <w:szCs w:val="32"/>
        </w:rPr>
        <w:t>用足用好各级各类发展专项资金，</w:t>
      </w:r>
      <w:r w:rsidR="00F537F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科学设置考评指标，完善考评方式，强化</w:t>
      </w:r>
      <w:r w:rsidR="00C32580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板块</w:t>
      </w:r>
      <w:r w:rsidR="00F537F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责任落实，切实推动真抓实干。不断深化改革积极引入市场化招商方式，科学设置出资方式，积极探索国有资本参与公司化招商机构的运作模式；鼓励政府基金、市属国企以投资入股、合作经营等方式参与产业招商公司或相关招商引导资金的设立、运营。</w:t>
      </w:r>
    </w:p>
    <w:p w:rsidR="002261FF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kern w:val="4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（四）提升招商载体新平台。</w:t>
      </w:r>
      <w:r w:rsidR="00FC7D5F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抓牢用好苏州自贸片区建设等</w:t>
      </w:r>
      <w:r w:rsidR="00FC7D5F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lastRenderedPageBreak/>
        <w:t>重大机遇，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强化对项目招引的载体支撑。</w:t>
      </w:r>
      <w:r w:rsidR="008812A3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持续</w:t>
      </w:r>
      <w:r w:rsidR="008812A3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打造高水平招商合作平台，进一步发挥好各类投资促进机构、外商投资企业协会、商会等社团组织的作用，在更宽领域、更多层次广泛开展产业对接、企业对接和项目对接。坚持办好苏州与跨国公司交流会活动，争取将其打造成我市利用外资工作的高规格、高水平的国际商务交流服务平台。充分对接好长三角区域一体化</w:t>
      </w:r>
      <w:r w:rsidR="005A5E48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、“一带一路”</w:t>
      </w:r>
      <w:r w:rsidR="008812A3" w:rsidRPr="00102CEA">
        <w:rPr>
          <w:rFonts w:ascii="Times New Roman" w:eastAsia="仿宋_GB2312" w:hAnsi="Times New Roman" w:cs="Times New Roman" w:hint="eastAsia"/>
          <w:bCs/>
          <w:spacing w:val="-4"/>
          <w:kern w:val="44"/>
          <w:sz w:val="32"/>
          <w:szCs w:val="32"/>
        </w:rPr>
        <w:t>等国家战略，利用好不同层级的区域合作机制，拓展更多集聚高端资本要素的网络渠道。</w:t>
      </w:r>
      <w:r w:rsidR="005A5E48" w:rsidRPr="00102CEA">
        <w:rPr>
          <w:rFonts w:ascii="Times New Roman" w:eastAsia="仿宋_GB2312" w:hAnsi="Times New Roman" w:cs="Times New Roman" w:hint="eastAsia"/>
          <w:spacing w:val="-4"/>
          <w:kern w:val="44"/>
          <w:sz w:val="32"/>
          <w:szCs w:val="32"/>
        </w:rPr>
        <w:t>深度利用进博会、苏州（虹桥）商务会客厅、国际精英周等各类引资引智、行业交流重要平台，深化全要素招商。</w:t>
      </w:r>
    </w:p>
    <w:p w:rsidR="002261FF" w:rsidRPr="00102CEA" w:rsidRDefault="009F4C9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楷体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（五）</w:t>
      </w:r>
      <w:r w:rsidR="00DF181E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完善</w:t>
      </w: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投资营商新环境。</w:t>
      </w:r>
      <w:r w:rsidR="00942B90"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推动形成部门会商、会办等联动机制，合力解决项目落地和企业运营中的实际困难，</w:t>
      </w:r>
      <w:r w:rsidR="00942B90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提供更全面的服务和丰富多元的便利化措施</w:t>
      </w:r>
      <w:r w:rsidR="00942B90"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。</w:t>
      </w:r>
      <w:r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常态化开展“服务外企、重点项目推进月”活动</w:t>
      </w:r>
      <w:r w:rsidR="00942B90"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，</w:t>
      </w:r>
      <w:r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密切关注外企经营</w:t>
      </w:r>
      <w:r w:rsidR="00942B90"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动态</w:t>
      </w:r>
      <w:r w:rsidRPr="00102CEA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，排查各类潜在风险点，加强形势研判，做好主动服务。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进一步保护外商合法权益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保障外商投资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企业依法平等享受各类生产要素，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建立健全全市外商投资企业投诉工作机制。持续推进简政放权，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执行</w:t>
      </w:r>
      <w:r w:rsidR="00DF181E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好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各项法定惠企政策，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切实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帮助企业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减轻负担</w:t>
      </w:r>
      <w:r w:rsidR="005A5E48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、轻装上阵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="002261FF"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（苏州市商务局）</w:t>
      </w:r>
    </w:p>
    <w:p w:rsidR="00377EEB" w:rsidRPr="00102CEA" w:rsidRDefault="00377EEB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楷体_GB2312" w:hAnsi="Times New Roman" w:cs="Times New Roman"/>
          <w:spacing w:val="-4"/>
          <w:sz w:val="32"/>
          <w:szCs w:val="32"/>
        </w:rPr>
      </w:pPr>
    </w:p>
    <w:p w:rsidR="00440BC1" w:rsidRPr="00102CEA" w:rsidRDefault="002261FF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楷体_GB2312" w:hAnsi="Times New Roman" w:cs="Times New Roman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附件：《上海美国商会</w:t>
      </w: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2019</w:t>
      </w:r>
      <w:r w:rsidRPr="00102CEA">
        <w:rPr>
          <w:rFonts w:ascii="Times New Roman" w:eastAsia="楷体_GB2312" w:hAnsi="Times New Roman" w:cs="Times New Roman" w:hint="eastAsia"/>
          <w:spacing w:val="-4"/>
          <w:sz w:val="32"/>
          <w:szCs w:val="32"/>
        </w:rPr>
        <w:t>年中国商业报告》摘录</w:t>
      </w:r>
    </w:p>
    <w:p w:rsidR="00377EEB" w:rsidRPr="00102CEA" w:rsidRDefault="00377EEB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z w:val="32"/>
          <w:szCs w:val="32"/>
        </w:rPr>
        <w:br w:type="page"/>
      </w:r>
    </w:p>
    <w:p w:rsidR="00D55AD7" w:rsidRPr="00102CEA" w:rsidRDefault="00E87176" w:rsidP="00377EEB">
      <w:pPr>
        <w:adjustRightInd w:val="0"/>
        <w:snapToGrid w:val="0"/>
        <w:spacing w:line="556" w:lineRule="exact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lastRenderedPageBreak/>
        <w:t>附件</w:t>
      </w:r>
    </w:p>
    <w:p w:rsidR="00E87176" w:rsidRPr="00102CEA" w:rsidRDefault="00E87176" w:rsidP="00377EEB">
      <w:pPr>
        <w:adjustRightInd w:val="0"/>
        <w:snapToGrid w:val="0"/>
        <w:spacing w:line="556" w:lineRule="exact"/>
        <w:rPr>
          <w:rFonts w:ascii="Times New Roman" w:eastAsia="黑体" w:hAnsi="Times New Roman" w:cs="Times New Roman"/>
          <w:spacing w:val="-4"/>
          <w:sz w:val="32"/>
          <w:szCs w:val="32"/>
        </w:rPr>
      </w:pPr>
    </w:p>
    <w:p w:rsidR="00D55AD7" w:rsidRPr="00102CEA" w:rsidRDefault="00D55AD7" w:rsidP="00377EEB">
      <w:pPr>
        <w:adjustRightInd w:val="0"/>
        <w:snapToGrid w:val="0"/>
        <w:spacing w:line="556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《上海美国商会</w:t>
      </w: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2019</w:t>
      </w:r>
      <w:r w:rsidRPr="00102CEA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年中国商业报告》摘录</w:t>
      </w:r>
    </w:p>
    <w:p w:rsidR="00E87176" w:rsidRPr="00102CEA" w:rsidRDefault="00E87176" w:rsidP="00377EEB">
      <w:pPr>
        <w:adjustRightInd w:val="0"/>
        <w:snapToGrid w:val="0"/>
        <w:spacing w:line="556" w:lineRule="exact"/>
        <w:ind w:firstLineChars="200" w:firstLine="704"/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</w:p>
    <w:p w:rsidR="005600DD" w:rsidRPr="00102CEA" w:rsidRDefault="00D55AD7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根据上海美国商会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333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家会员企业高层的反馈，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总的来看，该报告结果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可谓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喜忧参半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虽然总体业绩依旧强劲，但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业界对未来发展的信心已明显减弱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---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企业在华投资放缓，收入增长预期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亦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滑落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至近年来的历史地位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尽管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中国持续改善的监管环境和不断扩大的消费市场对企业来说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仍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十分具有吸引力，但市场准入障碍仍然是不少外资企业在华发展的绊脚石。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报告显示，逾四分之一的受访企业已萌生了将原在华投资转向海外</w:t>
      </w:r>
      <w:r w:rsidR="000600B9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的想法。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下面是</w:t>
      </w:r>
      <w:r w:rsidR="000600B9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该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报告的</w:t>
      </w:r>
      <w:r w:rsidR="000600B9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部分</w:t>
      </w:r>
      <w:r w:rsidR="005600D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内容简析。</w:t>
      </w:r>
    </w:p>
    <w:p w:rsidR="0030227A" w:rsidRPr="00102CEA" w:rsidRDefault="0030227A" w:rsidP="00377EEB">
      <w:pPr>
        <w:pStyle w:val="a5"/>
        <w:numPr>
          <w:ilvl w:val="0"/>
          <w:numId w:val="1"/>
        </w:numPr>
        <w:adjustRightInd w:val="0"/>
        <w:snapToGrid w:val="0"/>
        <w:spacing w:line="556" w:lineRule="exact"/>
        <w:ind w:left="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业绩</w:t>
      </w:r>
    </w:p>
    <w:p w:rsidR="0030227A" w:rsidRPr="00102CEA" w:rsidRDefault="0030227A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2018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76.8%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的受访企业报告盈利，与往年持平。全体物流行业受访企业报告盈利；化工（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93.9%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）和制药、医疗器械、生命科学行业（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89.9%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）也表现不俗；房地产、工程和建筑服务行业表现不佳，仅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36.4%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的业内受访企业报告盈利。</w:t>
      </w:r>
    </w:p>
    <w:p w:rsidR="0030227A" w:rsidRPr="00102CEA" w:rsidRDefault="0030227A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受访企业的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2019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年营收增长预期初现疲软。仅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50.5%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的受访企业预计今年可以实现营收同比增长，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27.1%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的企业预计营收将少于去年——该比例明显高于前一年的报告水平（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6.1%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47.6%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的受访汽车行业企业预计今年营收将出现同比萎缩。</w:t>
      </w:r>
    </w:p>
    <w:p w:rsidR="00614B41" w:rsidRPr="00102CEA" w:rsidRDefault="00614B4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对未来五年持乐观态度的企业仅占受访企业比例的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61.4%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，较去年同期大幅下降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个百分点，更低于近年来的历史水平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lastRenderedPageBreak/>
        <w:t>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80-90%</w:t>
      </w:r>
      <w:r w:rsidR="00440BC1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）。持悲观态度的企业比例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上升了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14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个百分点，其中非消费类电子和化工行业的悲观情绪最为浓厚。</w:t>
      </w:r>
    </w:p>
    <w:p w:rsidR="0030227A" w:rsidRPr="00102CEA" w:rsidRDefault="00614B41" w:rsidP="00377EEB">
      <w:pPr>
        <w:pStyle w:val="a5"/>
        <w:numPr>
          <w:ilvl w:val="0"/>
          <w:numId w:val="1"/>
        </w:numPr>
        <w:adjustRightInd w:val="0"/>
        <w:snapToGrid w:val="0"/>
        <w:spacing w:line="556" w:lineRule="exact"/>
        <w:ind w:left="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投资</w:t>
      </w:r>
    </w:p>
    <w:p w:rsidR="00614B41" w:rsidRPr="00102CEA" w:rsidRDefault="00614B4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47.1%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的企业计划在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2019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年进一步增加其在华投资，低于其年同比（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61.6%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）。此外，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22.5%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的制造业企业表示年内计划减少在华投资。</w:t>
      </w:r>
    </w:p>
    <w:p w:rsidR="00614B41" w:rsidRPr="00102CEA" w:rsidRDefault="00614B41" w:rsidP="00377EEB">
      <w:pPr>
        <w:pStyle w:val="a5"/>
        <w:numPr>
          <w:ilvl w:val="0"/>
          <w:numId w:val="1"/>
        </w:numPr>
        <w:adjustRightInd w:val="0"/>
        <w:snapToGrid w:val="0"/>
        <w:spacing w:line="556" w:lineRule="exact"/>
        <w:ind w:left="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挑战</w:t>
      </w:r>
    </w:p>
    <w:p w:rsidR="00614B41" w:rsidRPr="00102CEA" w:rsidRDefault="00614B4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57.8%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的受访企业认为经济增速放缓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是其在华业务未来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3-5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年内面临的最大挑战；</w:t>
      </w:r>
      <w:r w:rsidR="00A1280E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中美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双边关系紧张（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52.7%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）紧随其后，成为业界</w:t>
      </w:r>
      <w:r w:rsidR="00A7403B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眼中</w:t>
      </w:r>
      <w:r w:rsidR="00FA16E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的第二大挑战。</w:t>
      </w:r>
    </w:p>
    <w:p w:rsidR="00FA16ED" w:rsidRPr="00102CEA" w:rsidRDefault="00FA16E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中国的政策监管环境在多个领域内都实现了长足改善，但仍有</w:t>
      </w:r>
      <w:r w:rsidR="00B97CC2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过半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受访企业表示“获得所需证照困难”（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56.7%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）、“知识产权保护和执行乏力”（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56.4%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）以及“采购过程偏袒本土企业”（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51.3%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）是其在华发展业务的主要障碍。</w:t>
      </w:r>
    </w:p>
    <w:p w:rsidR="00FA16ED" w:rsidRPr="00102CEA" w:rsidRDefault="00FA16E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在企业眼中，在华业务运营顺畅度较以前有所提高。虽然仍有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56.6%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48.6%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的企业将“政府行政效率不足”和“商业腐败和欺诈”这两个问题视作其经营障碍——但该比例较去年同期分别下降了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22.0%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，改善幅度最大。另外，“成本上涨”（</w:t>
      </w:r>
      <w:r w:rsidR="0059443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90.3%</w:t>
      </w:r>
      <w:r w:rsidR="0059443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的企业视其为障碍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</w:t>
      </w:r>
      <w:r w:rsidR="0059443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和“本土竞争”（</w:t>
      </w:r>
      <w:r w:rsidR="0059443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80.9%</w:t>
      </w:r>
      <w:r w:rsidR="0059443D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）连续第三年成为企业眼中最主要的两项挑战。</w:t>
      </w:r>
    </w:p>
    <w:p w:rsidR="0059443D" w:rsidRPr="00102CEA" w:rsidRDefault="0059443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69.4%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的受访企业认为其本土竞争对手的市场化速度更快。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71.2%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的受访企业认为其产品的质量高于本土竞品。</w:t>
      </w:r>
    </w:p>
    <w:p w:rsidR="0059443D" w:rsidRPr="00102CEA" w:rsidRDefault="0059443D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35.6%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的企业认为中美经贸摩擦将持续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1-3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12.7%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lastRenderedPageBreak/>
        <w:t>企业预估将持续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3-5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年，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16.9%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的受访企业认为将无限期持续。</w:t>
      </w:r>
    </w:p>
    <w:p w:rsidR="00614B41" w:rsidRPr="00102CEA" w:rsidRDefault="0059443D" w:rsidP="00377EEB">
      <w:pPr>
        <w:pStyle w:val="a5"/>
        <w:numPr>
          <w:ilvl w:val="0"/>
          <w:numId w:val="1"/>
        </w:numPr>
        <w:adjustRightInd w:val="0"/>
        <w:snapToGrid w:val="0"/>
        <w:spacing w:line="556" w:lineRule="exact"/>
        <w:ind w:left="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机遇</w:t>
      </w:r>
    </w:p>
    <w:p w:rsidR="0059443D" w:rsidRPr="00102CEA" w:rsidRDefault="0059443D" w:rsidP="00377EEB">
      <w:pPr>
        <w:adjustRightInd w:val="0"/>
        <w:snapToGrid w:val="0"/>
        <w:spacing w:line="556" w:lineRule="exact"/>
        <w:ind w:firstLineChars="200"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59.2%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的受访企业认为消费增长是中国市场未来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3-5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年内最大的利好因素，较去年（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58.0%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）和前年（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56.5%</w:t>
      </w:r>
      <w:r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）</w:t>
      </w:r>
      <w:r w:rsidR="00136E9C"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同比出现微升。</w:t>
      </w:r>
      <w:r w:rsidR="00511E01"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计划在</w:t>
      </w:r>
      <w:r w:rsidR="00511E01"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2019</w:t>
      </w:r>
      <w:r w:rsidR="00511E01" w:rsidRPr="00102CEA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年增加在华投资的企业中，有四成表示看好中国市场潜力。</w:t>
      </w:r>
    </w:p>
    <w:p w:rsidR="0059443D" w:rsidRPr="00102CEA" w:rsidRDefault="00511E01" w:rsidP="00377EEB">
      <w:pPr>
        <w:pStyle w:val="a5"/>
        <w:numPr>
          <w:ilvl w:val="0"/>
          <w:numId w:val="1"/>
        </w:numPr>
        <w:adjustRightInd w:val="0"/>
        <w:snapToGrid w:val="0"/>
        <w:spacing w:line="556" w:lineRule="exact"/>
        <w:ind w:left="0" w:firstLine="624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黑体" w:hAnsi="Times New Roman" w:cs="Times New Roman" w:hint="eastAsia"/>
          <w:spacing w:val="-4"/>
          <w:sz w:val="32"/>
          <w:szCs w:val="32"/>
        </w:rPr>
        <w:t>政策与经贸环境</w:t>
      </w:r>
    </w:p>
    <w:p w:rsidR="00511E01" w:rsidRPr="00102CEA" w:rsidRDefault="00511E0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53.4%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的受访企业表示出于对</w:t>
      </w:r>
      <w:r w:rsidR="00A1280E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中美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贸易紧张局势不确定性的顾虑，将推迟或减少其在华投资；仅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4.5%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的企业计划增加其在华投资。</w:t>
      </w:r>
    </w:p>
    <w:p w:rsidR="00511E01" w:rsidRPr="00102CEA" w:rsidRDefault="00511E0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逾四分之一的受访企业（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26.5%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）表示已于去年转移其原定在华投资，高于去年同期数据（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）。此投资转移现象在硬件技术、软件和科技服务行业内最为显著，比例高达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40.0%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440BC1" w:rsidRPr="00102CEA" w:rsidRDefault="00511E01" w:rsidP="00377EEB">
      <w:pPr>
        <w:adjustRightInd w:val="0"/>
        <w:snapToGrid w:val="0"/>
        <w:spacing w:line="556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28.9%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的受访企业表示加强双边政府间对话将最有助于</w:t>
      </w:r>
      <w:r w:rsidR="00A1280E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中美贸易进一步发展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；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23.2%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的受访企业认为投资和市场准入互惠机制是</w:t>
      </w:r>
      <w:r w:rsidR="00A1280E"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中美</w:t>
      </w:r>
      <w:r w:rsidRPr="00102CE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经贸谈判最有效的工具。</w:t>
      </w:r>
    </w:p>
    <w:p w:rsidR="00942B90" w:rsidRPr="00102CEA" w:rsidRDefault="00942B90" w:rsidP="00377EEB">
      <w:pPr>
        <w:adjustRightInd w:val="0"/>
        <w:snapToGrid w:val="0"/>
        <w:spacing w:line="580" w:lineRule="exact"/>
        <w:ind w:firstLine="630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40BC1" w:rsidRPr="00102CEA" w:rsidRDefault="00440BC1" w:rsidP="00440BC1">
      <w:pPr>
        <w:spacing w:line="240" w:lineRule="atLeas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本期责任编辑：朱贺</w:t>
      </w:r>
      <w:r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 xml:space="preserve">    </w:t>
      </w:r>
      <w:r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校对：冯俊龙</w:t>
      </w:r>
      <w:r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 xml:space="preserve">    </w:t>
      </w:r>
      <w:r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审核：</w:t>
      </w:r>
      <w:r w:rsidR="00CA44FB" w:rsidRPr="00102CEA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方文浜</w:t>
      </w:r>
      <w:bookmarkStart w:id="1" w:name="_GoBack"/>
      <w:bookmarkEnd w:id="1"/>
    </w:p>
    <w:p w:rsidR="00440BC1" w:rsidRPr="00102CEA" w:rsidRDefault="00440BC1" w:rsidP="00440BC1">
      <w:pPr>
        <w:spacing w:line="400" w:lineRule="exact"/>
        <w:ind w:rightChars="-156" w:right="-328"/>
        <w:rPr>
          <w:rFonts w:ascii="Times New Roman" w:eastAsia="仿宋_GB2312" w:hAnsi="Times New Roman" w:cs="Times New Roman"/>
          <w:b/>
          <w:sz w:val="32"/>
          <w:szCs w:val="10"/>
        </w:rPr>
      </w:pPr>
      <w:r w:rsidRPr="00102CEA">
        <w:rPr>
          <w:rFonts w:ascii="Times New Roman" w:eastAsia="仿宋_GB2312" w:hAnsi="Times New Roman" w:cs="Times New Roman" w:hint="eastAsia"/>
          <w:b/>
          <w:position w:val="18"/>
          <w:sz w:val="32"/>
          <w:szCs w:val="10"/>
          <w:u w:val="thick"/>
        </w:rPr>
        <w:t xml:space="preserve">                                                       </w:t>
      </w:r>
      <w:r w:rsidRPr="00102CEA">
        <w:rPr>
          <w:rFonts w:ascii="Times New Roman" w:eastAsia="仿宋_GB2312" w:hAnsi="Times New Roman" w:cs="Times New Roman" w:hint="eastAsia"/>
          <w:b/>
          <w:position w:val="18"/>
          <w:sz w:val="32"/>
          <w:szCs w:val="10"/>
        </w:rPr>
        <w:t xml:space="preserve">           </w:t>
      </w:r>
    </w:p>
    <w:p w:rsidR="00440BC1" w:rsidRPr="00102CEA" w:rsidRDefault="00440BC1" w:rsidP="00A47BD0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报送：市委、市人大、市政府、市政协领导，市委、市人大、</w:t>
      </w:r>
    </w:p>
    <w:p w:rsidR="00440BC1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市政府、市政协办公室，省商务厅领导，省商务厅办公室、</w:t>
      </w:r>
    </w:p>
    <w:p w:rsidR="00440BC1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综合处，各市、区党委、政府，各省级以上开发区党工委、</w:t>
      </w:r>
    </w:p>
    <w:p w:rsidR="00440BC1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管委会，各市、区商务局、招商局，工业园区经发委、社会</w:t>
      </w:r>
    </w:p>
    <w:p w:rsidR="00440BC1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事业局，各有关单位。</w:t>
      </w:r>
    </w:p>
    <w:p w:rsidR="00440BC1" w:rsidRPr="00102CEA" w:rsidRDefault="00440BC1" w:rsidP="00440BC1">
      <w:pPr>
        <w:spacing w:line="360" w:lineRule="exact"/>
        <w:ind w:rightChars="-156" w:right="-32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b/>
          <w:kern w:val="0"/>
          <w:position w:val="18"/>
          <w:sz w:val="32"/>
          <w:szCs w:val="32"/>
          <w:u w:val="thick"/>
        </w:rPr>
        <w:t xml:space="preserve">                                                       </w:t>
      </w:r>
      <w:r w:rsidRPr="00102CEA">
        <w:rPr>
          <w:rFonts w:ascii="Times New Roman" w:eastAsia="仿宋_GB2312" w:hAnsi="Times New Roman" w:cs="Times New Roman" w:hint="eastAsia"/>
          <w:kern w:val="0"/>
          <w:position w:val="18"/>
          <w:sz w:val="32"/>
          <w:szCs w:val="32"/>
        </w:rPr>
        <w:t xml:space="preserve">                                                                                                             </w:t>
      </w:r>
    </w:p>
    <w:p w:rsidR="00440BC1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苏州市西环路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1638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邮编：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215004    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共印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220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份</w:t>
      </w:r>
    </w:p>
    <w:p w:rsidR="004F650F" w:rsidRPr="00102CEA" w:rsidRDefault="00440BC1" w:rsidP="00440BC1">
      <w:pPr>
        <w:spacing w:line="360" w:lineRule="exact"/>
        <w:ind w:leftChars="-85" w:left="-178" w:rightChars="-330" w:right="-693" w:firstLineChars="119" w:firstLine="38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电话：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68630322         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传真：</w:t>
      </w:r>
      <w:r w:rsidRPr="0010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68707112</w:t>
      </w:r>
    </w:p>
    <w:sectPr w:rsidR="004F650F" w:rsidRPr="00102CEA" w:rsidSect="00377EEB">
      <w:footerReference w:type="default" r:id="rId8"/>
      <w:pgSz w:w="11906" w:h="16838" w:code="9"/>
      <w:pgMar w:top="2041" w:right="1559" w:bottom="1928" w:left="1559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88" w:rsidRDefault="00542C88" w:rsidP="00F70466">
      <w:r>
        <w:separator/>
      </w:r>
    </w:p>
  </w:endnote>
  <w:endnote w:type="continuationSeparator" w:id="0">
    <w:p w:rsidR="00542C88" w:rsidRDefault="00542C88" w:rsidP="00F7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7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 w:hint="eastAsia"/>
        <w:sz w:val="30"/>
        <w:szCs w:val="30"/>
      </w:rPr>
    </w:sdtEndPr>
    <w:sdtContent>
      <w:p w:rsidR="000D414E" w:rsidRPr="00456858" w:rsidRDefault="00456858" w:rsidP="00036EB3">
        <w:pPr>
          <w:pStyle w:val="a4"/>
          <w:jc w:val="center"/>
          <w:rPr>
            <w:rFonts w:ascii="Times New Roman" w:hAnsi="Times New Roman" w:cs="Times New Roman"/>
            <w:sz w:val="22"/>
          </w:rPr>
        </w:pPr>
        <w:r w:rsidRPr="00787AB8">
          <w:rPr>
            <w:rFonts w:asciiTheme="minorEastAsia" w:hAnsiTheme="minorEastAsia" w:hint="eastAsia"/>
            <w:sz w:val="30"/>
            <w:szCs w:val="30"/>
          </w:rPr>
          <w:t>—</w:t>
        </w:r>
        <w:r w:rsidRPr="00787AB8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2C256D" w:rsidRPr="00787AB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D414E" w:rsidRPr="00787AB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2C256D" w:rsidRPr="00787AB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81F70" w:rsidRPr="00B81F70">
          <w:rPr>
            <w:rFonts w:ascii="Times New Roman" w:hAnsi="Times New Roman" w:cs="Times New Roman"/>
            <w:noProof/>
            <w:sz w:val="30"/>
            <w:szCs w:val="30"/>
            <w:lang w:val="zh-CN"/>
          </w:rPr>
          <w:t>5</w:t>
        </w:r>
        <w:r w:rsidR="002C256D" w:rsidRPr="00787AB8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87AB8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787AB8">
          <w:rPr>
            <w:rFonts w:asciiTheme="minorEastAsia" w:hAnsiTheme="minorEastAsia" w:cs="Times New Roman"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88" w:rsidRDefault="00542C88" w:rsidP="00F70466">
      <w:r>
        <w:separator/>
      </w:r>
    </w:p>
  </w:footnote>
  <w:footnote w:type="continuationSeparator" w:id="0">
    <w:p w:rsidR="00542C88" w:rsidRDefault="00542C88" w:rsidP="00F7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64E"/>
    <w:multiLevelType w:val="hybridMultilevel"/>
    <w:tmpl w:val="E3D85336"/>
    <w:lvl w:ilvl="0" w:tplc="1EDE9F82">
      <w:start w:val="1"/>
      <w:numFmt w:val="chineseCountingThousand"/>
      <w:suff w:val="noth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466"/>
    <w:rsid w:val="00036EB3"/>
    <w:rsid w:val="000600B9"/>
    <w:rsid w:val="00085F3F"/>
    <w:rsid w:val="00094AF8"/>
    <w:rsid w:val="000A1BFC"/>
    <w:rsid w:val="000C2DDC"/>
    <w:rsid w:val="000D414E"/>
    <w:rsid w:val="000E70A2"/>
    <w:rsid w:val="00102CEA"/>
    <w:rsid w:val="00116D46"/>
    <w:rsid w:val="0011707C"/>
    <w:rsid w:val="00123D8B"/>
    <w:rsid w:val="00136E9C"/>
    <w:rsid w:val="001460C3"/>
    <w:rsid w:val="00223D28"/>
    <w:rsid w:val="002261FF"/>
    <w:rsid w:val="002A3F2B"/>
    <w:rsid w:val="002C256D"/>
    <w:rsid w:val="0030227A"/>
    <w:rsid w:val="00304B9F"/>
    <w:rsid w:val="00316B66"/>
    <w:rsid w:val="00377EEB"/>
    <w:rsid w:val="003D2527"/>
    <w:rsid w:val="003F68F2"/>
    <w:rsid w:val="00440BC1"/>
    <w:rsid w:val="004532E8"/>
    <w:rsid w:val="00456858"/>
    <w:rsid w:val="004A31A5"/>
    <w:rsid w:val="004F650F"/>
    <w:rsid w:val="00511E01"/>
    <w:rsid w:val="00542C88"/>
    <w:rsid w:val="00546A33"/>
    <w:rsid w:val="005600DD"/>
    <w:rsid w:val="005642EB"/>
    <w:rsid w:val="00583655"/>
    <w:rsid w:val="0059443D"/>
    <w:rsid w:val="005A2DA0"/>
    <w:rsid w:val="005A5E48"/>
    <w:rsid w:val="00614B41"/>
    <w:rsid w:val="00651617"/>
    <w:rsid w:val="00677077"/>
    <w:rsid w:val="00686C0A"/>
    <w:rsid w:val="006A11E3"/>
    <w:rsid w:val="006F6B73"/>
    <w:rsid w:val="00787AB8"/>
    <w:rsid w:val="00864AD0"/>
    <w:rsid w:val="008812A3"/>
    <w:rsid w:val="00890C65"/>
    <w:rsid w:val="008B205F"/>
    <w:rsid w:val="008B45BD"/>
    <w:rsid w:val="008E0BF4"/>
    <w:rsid w:val="008F3DE5"/>
    <w:rsid w:val="008F44D2"/>
    <w:rsid w:val="00911AF1"/>
    <w:rsid w:val="00942738"/>
    <w:rsid w:val="00942B90"/>
    <w:rsid w:val="00995565"/>
    <w:rsid w:val="009E6F75"/>
    <w:rsid w:val="009F4C91"/>
    <w:rsid w:val="00A1280E"/>
    <w:rsid w:val="00A47BD0"/>
    <w:rsid w:val="00A7403B"/>
    <w:rsid w:val="00A90E28"/>
    <w:rsid w:val="00B112F0"/>
    <w:rsid w:val="00B81F70"/>
    <w:rsid w:val="00B829DA"/>
    <w:rsid w:val="00B97CC2"/>
    <w:rsid w:val="00BC7FB3"/>
    <w:rsid w:val="00C02876"/>
    <w:rsid w:val="00C32580"/>
    <w:rsid w:val="00CA44FB"/>
    <w:rsid w:val="00D55AD7"/>
    <w:rsid w:val="00DF181E"/>
    <w:rsid w:val="00E3768B"/>
    <w:rsid w:val="00E80ED2"/>
    <w:rsid w:val="00E81557"/>
    <w:rsid w:val="00E82044"/>
    <w:rsid w:val="00E87176"/>
    <w:rsid w:val="00E942C9"/>
    <w:rsid w:val="00EC243B"/>
    <w:rsid w:val="00EF16AB"/>
    <w:rsid w:val="00F30078"/>
    <w:rsid w:val="00F537FD"/>
    <w:rsid w:val="00F66195"/>
    <w:rsid w:val="00F67D21"/>
    <w:rsid w:val="00F70466"/>
    <w:rsid w:val="00F74638"/>
    <w:rsid w:val="00FA16ED"/>
    <w:rsid w:val="00FC7D5F"/>
    <w:rsid w:val="00F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466"/>
    <w:rPr>
      <w:sz w:val="18"/>
      <w:szCs w:val="18"/>
    </w:rPr>
  </w:style>
  <w:style w:type="paragraph" w:styleId="a5">
    <w:name w:val="List Paragraph"/>
    <w:basedOn w:val="a"/>
    <w:uiPriority w:val="34"/>
    <w:qFormat/>
    <w:rsid w:val="0030227A"/>
    <w:pPr>
      <w:ind w:firstLineChars="200" w:firstLine="420"/>
    </w:pPr>
  </w:style>
  <w:style w:type="paragraph" w:styleId="a6">
    <w:name w:val="Normal (Web)"/>
    <w:basedOn w:val="a"/>
    <w:rsid w:val="009F4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0C2DDC"/>
    <w:pPr>
      <w:ind w:firstLine="645"/>
    </w:pPr>
    <w:rPr>
      <w:rFonts w:ascii="仿宋_GB2312" w:eastAsia="仿宋_GB2312" w:hAnsi="Times New Roman" w:cs="Times New Roman"/>
      <w:bCs/>
      <w:sz w:val="32"/>
      <w:szCs w:val="32"/>
    </w:rPr>
  </w:style>
  <w:style w:type="character" w:customStyle="1" w:styleId="Char1">
    <w:name w:val="正文文本缩进 Char"/>
    <w:basedOn w:val="a0"/>
    <w:link w:val="a7"/>
    <w:rsid w:val="000C2DDC"/>
    <w:rPr>
      <w:rFonts w:ascii="仿宋_GB2312" w:eastAsia="仿宋_GB2312" w:hAnsi="Times New Roman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86AF-F9E8-458C-8B5C-6BC9601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690</Words>
  <Characters>3935</Characters>
  <Application>Microsoft Office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60</cp:revision>
  <cp:lastPrinted>2019-09-27T06:29:00Z</cp:lastPrinted>
  <dcterms:created xsi:type="dcterms:W3CDTF">2019-09-25T07:54:00Z</dcterms:created>
  <dcterms:modified xsi:type="dcterms:W3CDTF">2019-09-27T06:30:00Z</dcterms:modified>
</cp:coreProperties>
</file>